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CCFFCC"/>
  <w:body>
    <w:p>
      <w:pPr>
        <w:spacing w:line="600" w:lineRule="exact"/>
        <w:jc w:val="center"/>
        <w:rPr>
          <w:rFonts w:hint="eastAsia" w:ascii="仿宋_GB2312" w:hAnsi="宋体" w:eastAsia="仿宋_GB2312" w:cs="宋体"/>
          <w:color w:val="000000"/>
          <w:kern w:val="0"/>
          <w:sz w:val="32"/>
          <w:szCs w:val="32"/>
        </w:rPr>
      </w:pPr>
    </w:p>
    <w:p>
      <w:pPr>
        <w:spacing w:line="600" w:lineRule="exact"/>
        <w:jc w:val="center"/>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pict>
          <v:shape id="_x0000_s1030" o:spid="_x0000_s1030" o:spt="136" type="#_x0000_t136" style="position:absolute;left:0pt;margin-left:33.1pt;margin-top:8.5pt;height:83.85pt;width:377.25pt;z-index:251659264;mso-width-relative:page;mso-height-relative:page;" fillcolor="#FF0000" filled="t" stroked="f" coordsize="21600,21600">
            <v:path/>
            <v:fill on="t" focussize="0,0"/>
            <v:stroke on="f"/>
            <v:imagedata o:title=""/>
            <o:lock v:ext="edit" text="f"/>
            <v:textpath on="t" fitpath="t" trim="t" xscale="f" string="滕州市人民政府文件" style="font-family:华文中宋;font-size:36pt;font-weight:bold;v-text-align:center;"/>
          </v:shape>
        </w:pict>
      </w:r>
    </w:p>
    <w:p>
      <w:pPr>
        <w:spacing w:line="600" w:lineRule="exact"/>
        <w:jc w:val="center"/>
        <w:rPr>
          <w:rFonts w:hint="eastAsia" w:ascii="仿宋_GB2312" w:hAnsi="宋体" w:eastAsia="仿宋_GB2312" w:cs="宋体"/>
          <w:color w:val="000000"/>
          <w:kern w:val="0"/>
          <w:sz w:val="32"/>
          <w:szCs w:val="32"/>
        </w:rPr>
      </w:pPr>
    </w:p>
    <w:p>
      <w:pPr>
        <w:spacing w:line="600" w:lineRule="exact"/>
        <w:jc w:val="center"/>
        <w:rPr>
          <w:rFonts w:hint="eastAsia" w:ascii="仿宋_GB2312" w:hAnsi="宋体" w:eastAsia="仿宋_GB2312" w:cs="宋体"/>
          <w:color w:val="000000"/>
          <w:kern w:val="0"/>
          <w:sz w:val="32"/>
          <w:szCs w:val="32"/>
        </w:rPr>
      </w:pPr>
    </w:p>
    <w:p>
      <w:pPr>
        <w:spacing w:line="600" w:lineRule="exact"/>
        <w:jc w:val="center"/>
        <w:rPr>
          <w:rFonts w:hint="eastAsia" w:ascii="仿宋_GB2312" w:hAnsi="宋体" w:eastAsia="仿宋_GB2312" w:cs="宋体"/>
          <w:color w:val="000000"/>
          <w:kern w:val="0"/>
          <w:sz w:val="32"/>
          <w:szCs w:val="32"/>
        </w:rPr>
      </w:pPr>
    </w:p>
    <w:p>
      <w:pPr>
        <w:spacing w:line="600" w:lineRule="exact"/>
        <w:jc w:val="center"/>
        <w:rPr>
          <w:rFonts w:hint="eastAsia" w:ascii="仿宋_GB2312" w:hAnsi="宋体" w:eastAsia="仿宋_GB2312" w:cs="宋体"/>
          <w:color w:val="000000"/>
          <w:kern w:val="0"/>
          <w:sz w:val="32"/>
          <w:szCs w:val="32"/>
        </w:rPr>
      </w:pPr>
    </w:p>
    <w:p>
      <w:pPr>
        <w:spacing w:line="600" w:lineRule="exact"/>
        <w:jc w:val="center"/>
        <w:rPr>
          <w:rFonts w:hint="eastAsia"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滕政</w:t>
      </w:r>
      <w:r>
        <w:rPr>
          <w:rFonts w:hint="eastAsia" w:ascii="仿宋_GB2312" w:eastAsia="仿宋_GB2312" w:cs="仿宋_GB2312"/>
          <w:color w:val="000000"/>
          <w:kern w:val="0"/>
          <w:sz w:val="32"/>
          <w:szCs w:val="32"/>
        </w:rPr>
        <w:t>发</w:t>
      </w:r>
      <w:r>
        <w:rPr>
          <w:rFonts w:hint="eastAsia" w:ascii="仿宋_GB2312" w:hAnsi="宋体" w:eastAsia="仿宋_GB2312" w:cs="宋体"/>
          <w:color w:val="000000"/>
          <w:kern w:val="0"/>
          <w:sz w:val="32"/>
          <w:szCs w:val="32"/>
        </w:rPr>
        <w:t>〔2017〕88号</w:t>
      </w:r>
    </w:p>
    <w:p>
      <w:pPr>
        <w:spacing w:line="600" w:lineRule="exact"/>
        <w:jc w:val="center"/>
        <w:rPr>
          <w:rFonts w:hint="eastAsia" w:ascii="方正小标宋简体" w:hAnsi="宋体" w:eastAsia="方正小标宋简体"/>
          <w:color w:val="000000"/>
          <w:sz w:val="44"/>
          <w:szCs w:val="44"/>
        </w:rPr>
      </w:pPr>
      <w:r>
        <w:rPr>
          <w:rFonts w:hint="eastAsia" w:ascii="方正小标宋简体" w:hAnsi="宋体" w:eastAsia="方正小标宋简体"/>
          <w:color w:val="000000"/>
          <w:sz w:val="44"/>
          <w:szCs w:val="44"/>
        </w:rPr>
        <mc:AlternateContent>
          <mc:Choice Requires="wps">
            <w:drawing>
              <wp:anchor distT="0" distB="0" distL="114300" distR="114300" simplePos="0" relativeHeight="251660288" behindDoc="0" locked="0" layoutInCell="1" allowOverlap="1">
                <wp:simplePos x="0" y="0"/>
                <wp:positionH relativeFrom="column">
                  <wp:posOffset>224155</wp:posOffset>
                </wp:positionH>
                <wp:positionV relativeFrom="paragraph">
                  <wp:posOffset>229235</wp:posOffset>
                </wp:positionV>
                <wp:extent cx="5143500" cy="635"/>
                <wp:effectExtent l="0" t="0" r="0" b="0"/>
                <wp:wrapNone/>
                <wp:docPr id="4" name="直线 7"/>
                <wp:cNvGraphicFramePr/>
                <a:graphic xmlns:a="http://schemas.openxmlformats.org/drawingml/2006/main">
                  <a:graphicData uri="http://schemas.microsoft.com/office/word/2010/wordprocessingShape">
                    <wps:wsp>
                      <wps:cNvSpPr/>
                      <wps:spPr>
                        <a:xfrm>
                          <a:off x="0" y="0"/>
                          <a:ext cx="5143500" cy="635"/>
                        </a:xfrm>
                        <a:prstGeom prst="line">
                          <a:avLst/>
                        </a:prstGeom>
                        <a:ln w="28575" cap="flat" cmpd="sng">
                          <a:solidFill>
                            <a:srgbClr val="FF0000"/>
                          </a:solidFill>
                          <a:prstDash val="solid"/>
                          <a:headEnd type="none" w="med" len="med"/>
                          <a:tailEnd type="none" w="med" len="med"/>
                        </a:ln>
                      </wps:spPr>
                      <wps:bodyPr upright="true"/>
                    </wps:wsp>
                  </a:graphicData>
                </a:graphic>
              </wp:anchor>
            </w:drawing>
          </mc:Choice>
          <mc:Fallback>
            <w:pict>
              <v:line id="直线 7" o:spid="_x0000_s1026" o:spt="20" style="position:absolute;left:0pt;margin-left:17.65pt;margin-top:18.05pt;height:0.05pt;width:405pt;z-index:251660288;mso-width-relative:page;mso-height-relative:page;" filled="f" stroked="t" coordsize="21600,21600" o:gfxdata="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WAAAAZHJzL1BLAQIUABQAAAAIAIdO4kBJrWu0&#10;1gAAAAgBAAAPAAAAAAAAAAEAIAAAADgAAABkcnMvZG93bnJldi54bWxQSwECFAAUAAAACACHTuJA&#10;S1R2EdQBAACTAwAADgAAAAAAAAABACAAAAA7AQAAZHJzL2Uyb0RvYy54bWxQSwUGAAAAAAYABgBZ&#10;AQAAgQUAAAAA&#10;">
                <v:fill on="f" focussize="0,0"/>
                <v:stroke weight="2.25pt" color="#FF0000" joinstyle="round"/>
                <v:imagedata o:title=""/>
                <o:lock v:ext="edit" aspectratio="f"/>
              </v:line>
            </w:pict>
          </mc:Fallback>
        </mc:AlternateContent>
      </w:r>
    </w:p>
    <w:p>
      <w:pPr>
        <w:spacing w:line="600" w:lineRule="exact"/>
        <w:jc w:val="center"/>
        <w:rPr>
          <w:rFonts w:hint="eastAsia" w:ascii="方正小标宋简体" w:hAnsi="宋体" w:eastAsia="方正小标宋简体"/>
          <w:color w:val="000000"/>
          <w:sz w:val="44"/>
          <w:szCs w:val="44"/>
        </w:rPr>
      </w:pPr>
    </w:p>
    <w:p>
      <w:pPr>
        <w:widowControl/>
        <w:jc w:val="left"/>
        <w:rPr>
          <w:rFonts w:hint="eastAsia"/>
        </w:rPr>
      </w:pPr>
    </w:p>
    <w:p>
      <w:pPr>
        <w:spacing w:line="600" w:lineRule="exact"/>
        <w:jc w:val="center"/>
        <w:rPr>
          <w:rFonts w:hint="eastAsia" w:ascii="方正小标宋简体" w:hAnsi="华文中宋" w:eastAsia="方正小标宋简体"/>
          <w:color w:val="000000"/>
          <w:sz w:val="44"/>
          <w:szCs w:val="44"/>
        </w:rPr>
      </w:pPr>
      <w:r>
        <w:rPr>
          <w:rFonts w:hint="eastAsia" w:ascii="方正小标宋简体" w:hAnsi="宋体" w:eastAsia="方正小标宋简体"/>
          <w:color w:val="000000"/>
          <w:sz w:val="44"/>
          <w:szCs w:val="44"/>
        </w:rPr>
        <w:t>滕州市人民政府</w:t>
      </w:r>
    </w:p>
    <w:p>
      <w:pPr>
        <w:spacing w:line="600" w:lineRule="exact"/>
        <w:jc w:val="center"/>
        <w:rPr>
          <w:rFonts w:ascii="方正小标宋简体" w:hAnsi="宋体" w:eastAsia="方正小标宋简体"/>
          <w:color w:val="000000"/>
          <w:sz w:val="44"/>
          <w:szCs w:val="44"/>
        </w:rPr>
      </w:pPr>
      <w:bookmarkStart w:id="0" w:name="OLE_LINK3"/>
      <w:r>
        <w:rPr>
          <w:rFonts w:hint="eastAsia" w:ascii="方正小标宋简体" w:hAnsi="华文中宋" w:eastAsia="方正小标宋简体" w:cs="宋体"/>
          <w:color w:val="000000"/>
          <w:kern w:val="0"/>
          <w:sz w:val="44"/>
          <w:szCs w:val="44"/>
          <w:lang w:val="zh-CN"/>
        </w:rPr>
        <w:t>印</w:t>
      </w:r>
      <w:r>
        <w:rPr>
          <w:rFonts w:hint="eastAsia" w:ascii="方正小标宋简体" w:hAnsi="宋体" w:eastAsia="方正小标宋简体"/>
          <w:color w:val="000000"/>
          <w:sz w:val="44"/>
          <w:szCs w:val="44"/>
        </w:rPr>
        <w:t>发《</w:t>
      </w:r>
      <w:bookmarkStart w:id="1" w:name="OLE_LINK1"/>
      <w:r>
        <w:rPr>
          <w:rFonts w:hint="eastAsia" w:ascii="方正小标宋简体" w:hAnsi="宋体" w:eastAsia="方正小标宋简体"/>
          <w:color w:val="000000"/>
          <w:sz w:val="44"/>
          <w:szCs w:val="44"/>
        </w:rPr>
        <w:t>关于建立健全农村无害化卫生厕所</w:t>
      </w:r>
      <w:bookmarkStart w:id="3" w:name="_GoBack"/>
      <w:bookmarkEnd w:id="3"/>
    </w:p>
    <w:p>
      <w:pPr>
        <w:spacing w:line="600" w:lineRule="exact"/>
        <w:jc w:val="center"/>
        <w:rPr>
          <w:rFonts w:hint="eastAsia" w:ascii="方正小标宋简体" w:hAnsi="华文中宋" w:eastAsia="方正小标宋简体" w:cs="宋体"/>
          <w:color w:val="000000"/>
          <w:kern w:val="0"/>
          <w:sz w:val="44"/>
          <w:szCs w:val="44"/>
        </w:rPr>
      </w:pPr>
      <w:r>
        <w:rPr>
          <w:rFonts w:hint="eastAsia" w:ascii="方正小标宋简体" w:hAnsi="宋体" w:eastAsia="方正小标宋简体"/>
          <w:color w:val="000000"/>
          <w:sz w:val="44"/>
          <w:szCs w:val="44"/>
        </w:rPr>
        <w:t>后续管护长效机制的意见</w:t>
      </w:r>
      <w:bookmarkEnd w:id="1"/>
      <w:r>
        <w:rPr>
          <w:rFonts w:hint="eastAsia" w:ascii="方正小标宋简体" w:hAnsi="宋体" w:eastAsia="方正小标宋简体"/>
          <w:color w:val="000000"/>
          <w:sz w:val="44"/>
          <w:szCs w:val="44"/>
        </w:rPr>
        <w:t>》的</w:t>
      </w:r>
      <w:r>
        <w:rPr>
          <w:rFonts w:hint="eastAsia" w:ascii="方正小标宋简体" w:hAnsi="华文中宋" w:eastAsia="方正小标宋简体" w:cs="宋体"/>
          <w:color w:val="000000"/>
          <w:kern w:val="0"/>
          <w:sz w:val="44"/>
          <w:szCs w:val="44"/>
          <w:lang w:val="zh-CN"/>
        </w:rPr>
        <w:t>通知</w:t>
      </w:r>
    </w:p>
    <w:bookmarkEnd w:id="0"/>
    <w:p>
      <w:pPr>
        <w:autoSpaceDE w:val="0"/>
        <w:autoSpaceDN w:val="0"/>
        <w:adjustRightInd w:val="0"/>
        <w:snapToGrid w:val="0"/>
        <w:spacing w:line="600" w:lineRule="exact"/>
        <w:jc w:val="left"/>
        <w:rPr>
          <w:rFonts w:hint="eastAsia" w:ascii="仿宋_GB2312" w:eastAsia="仿宋_GB2312" w:cs="宋体"/>
          <w:color w:val="000000"/>
          <w:kern w:val="0"/>
          <w:sz w:val="32"/>
          <w:szCs w:val="32"/>
          <w:lang w:val="zh-CN"/>
        </w:rPr>
      </w:pPr>
    </w:p>
    <w:p>
      <w:pPr>
        <w:spacing w:line="600" w:lineRule="exact"/>
        <w:rPr>
          <w:rFonts w:ascii="仿宋_GB2312" w:hAnsi="仿宋_GB2312" w:eastAsia="仿宋_GB2312" w:cs="仿宋_GB2312"/>
          <w:color w:val="000000"/>
          <w:kern w:val="36"/>
          <w:sz w:val="32"/>
          <w:szCs w:val="32"/>
        </w:rPr>
      </w:pPr>
      <w:r>
        <w:rPr>
          <w:rFonts w:hint="eastAsia" w:ascii="仿宋_GB2312" w:hAnsi="仿宋_GB2312" w:eastAsia="仿宋_GB2312" w:cs="仿宋_GB2312"/>
          <w:color w:val="000000"/>
          <w:kern w:val="36"/>
          <w:sz w:val="32"/>
          <w:szCs w:val="32"/>
        </w:rPr>
        <w:t>各镇人民政府、街道办事处，滕州经济开发区管委会，市政府各部门，各企事业单位：</w:t>
      </w:r>
    </w:p>
    <w:p>
      <w:pPr>
        <w:spacing w:line="600" w:lineRule="exact"/>
        <w:ind w:firstLine="624" w:firstLineChars="200"/>
        <w:jc w:val="left"/>
        <w:rPr>
          <w:rFonts w:hint="eastAsia" w:ascii="仿宋_GB2312" w:hAnsi="宋体" w:eastAsia="仿宋_GB2312" w:cs="Arial"/>
          <w:bCs/>
          <w:color w:val="000000"/>
          <w:spacing w:val="-4"/>
          <w:sz w:val="32"/>
          <w:szCs w:val="32"/>
        </w:rPr>
      </w:pPr>
      <w:r>
        <w:rPr>
          <w:rFonts w:hint="eastAsia" w:ascii="仿宋_GB2312" w:hAnsi="宋体" w:eastAsia="仿宋_GB2312" w:cs="Arial"/>
          <w:bCs/>
          <w:color w:val="000000"/>
          <w:spacing w:val="-4"/>
          <w:sz w:val="32"/>
          <w:szCs w:val="32"/>
        </w:rPr>
        <w:t>现将《关于建立健全农村无害化卫生厕所后续管护长效机制的意见》印发给你们，望认真抓好贯彻落实。</w:t>
      </w:r>
    </w:p>
    <w:p>
      <w:pPr>
        <w:jc w:val="left"/>
        <w:rPr>
          <w:rFonts w:hint="eastAsia"/>
          <w:sz w:val="32"/>
          <w:szCs w:val="32"/>
        </w:rPr>
      </w:pPr>
    </w:p>
    <w:p>
      <w:pPr>
        <w:jc w:val="left"/>
        <w:rPr>
          <w:rFonts w:hint="eastAsia"/>
          <w:sz w:val="32"/>
          <w:szCs w:val="32"/>
        </w:rPr>
      </w:pPr>
    </w:p>
    <w:p>
      <w:pPr>
        <w:spacing w:line="600" w:lineRule="exact"/>
        <w:ind w:firstLine="5280" w:firstLineChars="1650"/>
        <w:jc w:val="left"/>
        <w:rPr>
          <w:rFonts w:hint="eastAsia" w:ascii="仿宋_GB2312" w:eastAsia="仿宋_GB2312" w:cs="宋体"/>
          <w:color w:val="000000"/>
          <w:kern w:val="0"/>
          <w:sz w:val="32"/>
          <w:szCs w:val="32"/>
        </w:rPr>
      </w:pPr>
      <w:r>
        <w:rPr>
          <w:rFonts w:hint="eastAsia" w:ascii="仿宋_GB2312" w:eastAsia="仿宋_GB2312" w:cs="宋体"/>
          <w:color w:val="000000"/>
          <w:kern w:val="0"/>
          <w:sz w:val="32"/>
          <w:szCs w:val="32"/>
          <w:lang w:val="zh-CN"/>
        </w:rPr>
        <w:t>滕州市人民政府</w:t>
      </w:r>
    </w:p>
    <w:p>
      <w:pPr>
        <w:spacing w:line="600" w:lineRule="exact"/>
        <w:ind w:firstLine="5120" w:firstLineChars="1600"/>
        <w:jc w:val="left"/>
        <w:rPr>
          <w:rFonts w:hint="eastAsia"/>
          <w:color w:val="000000"/>
        </w:rPr>
      </w:pPr>
      <w:r>
        <w:rPr>
          <w:rFonts w:hint="eastAsia" w:ascii="仿宋_GB2312" w:eastAsia="仿宋_GB2312" w:cs="宋体"/>
          <w:color w:val="000000"/>
          <w:kern w:val="0"/>
          <w:sz w:val="32"/>
          <w:szCs w:val="32"/>
        </w:rPr>
        <w:t>2017</w:t>
      </w:r>
      <w:r>
        <w:rPr>
          <w:rFonts w:hint="eastAsia" w:ascii="仿宋_GB2312" w:eastAsia="仿宋_GB2312" w:cs="宋体"/>
          <w:color w:val="000000"/>
          <w:kern w:val="0"/>
          <w:sz w:val="32"/>
          <w:szCs w:val="32"/>
          <w:lang w:val="zh-CN"/>
        </w:rPr>
        <w:t>年</w:t>
      </w:r>
      <w:r>
        <w:rPr>
          <w:rFonts w:hint="eastAsia" w:ascii="仿宋_GB2312" w:eastAsia="仿宋_GB2312" w:cs="宋体"/>
          <w:color w:val="000000"/>
          <w:kern w:val="0"/>
          <w:sz w:val="32"/>
          <w:szCs w:val="32"/>
        </w:rPr>
        <w:t>10</w:t>
      </w:r>
      <w:r>
        <w:rPr>
          <w:rFonts w:hint="eastAsia" w:ascii="仿宋_GB2312" w:eastAsia="仿宋_GB2312" w:cs="宋体"/>
          <w:color w:val="000000"/>
          <w:kern w:val="0"/>
          <w:sz w:val="32"/>
          <w:szCs w:val="32"/>
          <w:lang w:val="zh-CN"/>
        </w:rPr>
        <w:t>月</w:t>
      </w:r>
      <w:r>
        <w:rPr>
          <w:rFonts w:hint="eastAsia" w:ascii="仿宋_GB2312" w:eastAsia="仿宋_GB2312" w:cs="宋体"/>
          <w:color w:val="000000"/>
          <w:kern w:val="0"/>
          <w:sz w:val="32"/>
          <w:szCs w:val="32"/>
        </w:rPr>
        <w:t>20日</w:t>
      </w:r>
    </w:p>
    <w:p>
      <w:pPr>
        <w:adjustRightInd w:val="0"/>
        <w:spacing w:line="600" w:lineRule="exact"/>
        <w:jc w:val="center"/>
        <w:rPr>
          <w:rFonts w:hint="eastAsia" w:ascii="方正小标宋简体" w:eastAsia="方正小标宋简体"/>
          <w:color w:val="000000"/>
          <w:sz w:val="44"/>
          <w:szCs w:val="44"/>
        </w:rPr>
      </w:pPr>
      <w:r>
        <w:rPr>
          <w:rFonts w:hint="eastAsia" w:ascii="方正小标宋简体" w:eastAsia="方正小标宋简体"/>
          <w:color w:val="000000"/>
          <w:sz w:val="44"/>
          <w:szCs w:val="44"/>
        </w:rPr>
        <w:t>滕州市人民政府</w:t>
      </w:r>
    </w:p>
    <w:p>
      <w:pPr>
        <w:spacing w:line="600" w:lineRule="exact"/>
        <w:jc w:val="center"/>
        <w:rPr>
          <w:rFonts w:hint="eastAsia" w:ascii="方正小标宋简体" w:eastAsia="方正小标宋简体"/>
          <w:color w:val="000000"/>
          <w:sz w:val="44"/>
          <w:szCs w:val="44"/>
        </w:rPr>
      </w:pPr>
      <w:r>
        <w:rPr>
          <w:rFonts w:hint="eastAsia" w:ascii="方正小标宋简体" w:eastAsia="方正小标宋简体"/>
          <w:color w:val="000000"/>
          <w:sz w:val="44"/>
          <w:szCs w:val="44"/>
        </w:rPr>
        <w:t>关于建立健全农村无害化卫生厕所后续管护长效机制的意见</w:t>
      </w:r>
    </w:p>
    <w:p>
      <w:pPr>
        <w:spacing w:line="600" w:lineRule="exact"/>
        <w:ind w:firstLine="640" w:firstLineChars="200"/>
        <w:rPr>
          <w:rFonts w:hint="eastAsia" w:ascii="仿宋_GB2312" w:eastAsia="仿宋_GB2312"/>
          <w:color w:val="000000"/>
          <w:sz w:val="32"/>
          <w:szCs w:val="32"/>
        </w:rPr>
      </w:pPr>
    </w:p>
    <w:p>
      <w:pPr>
        <w:spacing w:line="60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为加快建立农村无害化卫生厕所后续管护长效机制，巩固农村改厕成果，保证改后厕所长久发挥效益，</w:t>
      </w:r>
      <w:r>
        <w:rPr>
          <w:rFonts w:hint="eastAsia" w:ascii="仿宋_GB2312" w:eastAsia="仿宋_GB2312" w:cs="宋体"/>
          <w:color w:val="000000"/>
          <w:sz w:val="32"/>
          <w:szCs w:val="32"/>
        </w:rPr>
        <w:t>根据山东省委办公厅、省政府办公厅《</w:t>
      </w:r>
      <w:bookmarkStart w:id="2" w:name="OLE_LINK2"/>
      <w:r>
        <w:rPr>
          <w:rFonts w:hint="eastAsia" w:ascii="仿宋_GB2312" w:eastAsia="仿宋_GB2312" w:cs="宋体"/>
          <w:color w:val="000000"/>
          <w:sz w:val="32"/>
          <w:szCs w:val="32"/>
        </w:rPr>
        <w:t>关于深入推进农村改厕工作的实施意见</w:t>
      </w:r>
      <w:bookmarkEnd w:id="2"/>
      <w:r>
        <w:rPr>
          <w:rFonts w:hint="eastAsia" w:ascii="仿宋_GB2312" w:eastAsia="仿宋_GB2312" w:cs="宋体"/>
          <w:color w:val="000000"/>
          <w:sz w:val="32"/>
          <w:szCs w:val="32"/>
        </w:rPr>
        <w:t>》（鲁办发〔</w:t>
      </w:r>
      <w:r>
        <w:rPr>
          <w:rFonts w:ascii="仿宋_GB2312" w:hAnsi="宋体" w:eastAsia="仿宋_GB2312" w:cs="宋体"/>
          <w:color w:val="000000"/>
          <w:sz w:val="32"/>
          <w:szCs w:val="32"/>
        </w:rPr>
        <w:t>2015</w:t>
      </w:r>
      <w:r>
        <w:rPr>
          <w:rFonts w:hint="eastAsia" w:ascii="仿宋_GB2312" w:eastAsia="仿宋_GB2312" w:cs="宋体"/>
          <w:color w:val="000000"/>
          <w:sz w:val="32"/>
          <w:szCs w:val="32"/>
        </w:rPr>
        <w:t>〕</w:t>
      </w:r>
      <w:r>
        <w:rPr>
          <w:rFonts w:ascii="仿宋_GB2312" w:hAnsi="宋体" w:eastAsia="仿宋_GB2312" w:cs="宋体"/>
          <w:color w:val="000000"/>
          <w:sz w:val="32"/>
          <w:szCs w:val="32"/>
        </w:rPr>
        <w:t>50</w:t>
      </w:r>
      <w:r>
        <w:rPr>
          <w:rFonts w:hint="eastAsia" w:ascii="仿宋_GB2312" w:eastAsia="仿宋_GB2312" w:cs="宋体"/>
          <w:color w:val="000000"/>
          <w:sz w:val="32"/>
          <w:szCs w:val="32"/>
        </w:rPr>
        <w:t>号）和山东省农村无害化卫生厕所改造联席会议办公室《关于加快建立农村无害化卫生厕所后续管护长效机制的意见》（鲁建村函〔</w:t>
      </w:r>
      <w:r>
        <w:rPr>
          <w:rFonts w:ascii="仿宋_GB2312" w:hAnsi="宋体" w:eastAsia="仿宋_GB2312" w:cs="宋体"/>
          <w:color w:val="000000"/>
          <w:sz w:val="32"/>
          <w:szCs w:val="32"/>
        </w:rPr>
        <w:t>2017</w:t>
      </w:r>
      <w:r>
        <w:rPr>
          <w:rFonts w:hint="eastAsia" w:ascii="仿宋_GB2312" w:eastAsia="仿宋_GB2312" w:cs="宋体"/>
          <w:color w:val="000000"/>
          <w:sz w:val="32"/>
          <w:szCs w:val="32"/>
        </w:rPr>
        <w:t>〕</w:t>
      </w:r>
      <w:r>
        <w:rPr>
          <w:rFonts w:ascii="仿宋_GB2312" w:hAnsi="宋体" w:eastAsia="仿宋_GB2312" w:cs="宋体"/>
          <w:color w:val="000000"/>
          <w:sz w:val="32"/>
          <w:szCs w:val="32"/>
        </w:rPr>
        <w:t>19</w:t>
      </w:r>
      <w:r>
        <w:rPr>
          <w:rFonts w:hint="eastAsia" w:ascii="仿宋_GB2312" w:eastAsia="仿宋_GB2312" w:cs="宋体"/>
          <w:color w:val="000000"/>
          <w:sz w:val="32"/>
          <w:szCs w:val="32"/>
        </w:rPr>
        <w:t>号）精神，紧密结合滕州实际，现就建立健全滕州市农村无害化卫生厕所改造长效管护机制提出如下意见。</w:t>
      </w:r>
    </w:p>
    <w:p>
      <w:pPr>
        <w:spacing w:line="600" w:lineRule="exact"/>
        <w:ind w:firstLine="640" w:firstLineChars="200"/>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一、指导思想</w:t>
      </w:r>
    </w:p>
    <w:p>
      <w:pPr>
        <w:spacing w:line="600" w:lineRule="exact"/>
        <w:ind w:firstLine="640" w:firstLineChars="200"/>
        <w:rPr>
          <w:rFonts w:ascii="楷体_GB2312" w:hAnsi="宋体" w:eastAsia="楷体_GB2312" w:cs="宋体"/>
          <w:color w:val="000000"/>
          <w:kern w:val="0"/>
          <w:sz w:val="32"/>
          <w:szCs w:val="32"/>
        </w:rPr>
      </w:pPr>
      <w:r>
        <w:rPr>
          <w:rFonts w:hint="eastAsia" w:ascii="仿宋_GB2312" w:eastAsia="仿宋_GB2312" w:cs="宋体"/>
          <w:color w:val="000000"/>
          <w:kern w:val="0"/>
          <w:sz w:val="32"/>
          <w:szCs w:val="32"/>
        </w:rPr>
        <w:t>深入贯彻落实上级关于改善农村人居环境、加强生态文明建设的系列决策部署，把建立无害化卫生厕所长效管护机制作为推进城乡基本公共服务均等化的重要任务，</w:t>
      </w:r>
      <w:r>
        <w:rPr>
          <w:rFonts w:ascii="仿宋_GB2312" w:eastAsia="仿宋_GB2312" w:cs="宋体"/>
          <w:color w:val="000000"/>
          <w:kern w:val="0"/>
          <w:sz w:val="32"/>
          <w:szCs w:val="32"/>
        </w:rPr>
        <w:t>按照</w:t>
      </w:r>
      <w:r>
        <w:rPr>
          <w:rFonts w:hint="eastAsia" w:ascii="仿宋_GB2312" w:eastAsia="仿宋_GB2312" w:cs="宋体"/>
          <w:color w:val="000000"/>
          <w:kern w:val="0"/>
          <w:sz w:val="32"/>
          <w:szCs w:val="32"/>
        </w:rPr>
        <w:t>改厕工作规范化、制度化、长效化</w:t>
      </w:r>
      <w:r>
        <w:rPr>
          <w:rFonts w:ascii="仿宋_GB2312" w:eastAsia="仿宋_GB2312" w:cs="宋体"/>
          <w:color w:val="000000"/>
          <w:kern w:val="0"/>
          <w:sz w:val="32"/>
          <w:szCs w:val="32"/>
        </w:rPr>
        <w:t>的要求，</w:t>
      </w:r>
      <w:r>
        <w:rPr>
          <w:rFonts w:hint="eastAsia" w:ascii="仿宋_GB2312" w:eastAsia="仿宋_GB2312" w:cs="宋体"/>
          <w:color w:val="000000"/>
          <w:kern w:val="0"/>
          <w:sz w:val="32"/>
          <w:szCs w:val="32"/>
        </w:rPr>
        <w:t>健全制度，建立队伍，</w:t>
      </w:r>
      <w:r>
        <w:rPr>
          <w:rFonts w:ascii="仿宋_GB2312" w:eastAsia="仿宋_GB2312" w:cs="宋体"/>
          <w:color w:val="000000"/>
          <w:kern w:val="0"/>
          <w:sz w:val="32"/>
          <w:szCs w:val="32"/>
        </w:rPr>
        <w:t>不断强化</w:t>
      </w:r>
      <w:r>
        <w:rPr>
          <w:rFonts w:hint="eastAsia" w:ascii="仿宋_GB2312" w:eastAsia="仿宋_GB2312" w:cs="宋体"/>
          <w:color w:val="000000"/>
          <w:kern w:val="0"/>
          <w:sz w:val="32"/>
          <w:szCs w:val="32"/>
        </w:rPr>
        <w:t>改厕后续</w:t>
      </w:r>
      <w:r>
        <w:rPr>
          <w:rFonts w:ascii="仿宋_GB2312" w:eastAsia="仿宋_GB2312" w:cs="宋体"/>
          <w:color w:val="000000"/>
          <w:kern w:val="0"/>
          <w:sz w:val="32"/>
          <w:szCs w:val="32"/>
        </w:rPr>
        <w:t>长效监管</w:t>
      </w:r>
      <w:r>
        <w:rPr>
          <w:rFonts w:hint="eastAsia" w:ascii="仿宋_GB2312" w:eastAsia="仿宋_GB2312" w:cs="宋体"/>
          <w:color w:val="000000"/>
          <w:kern w:val="0"/>
          <w:sz w:val="32"/>
          <w:szCs w:val="32"/>
        </w:rPr>
        <w:t>，加快形成“管收用并重、责权利一致”的农村无害化卫生厕所长效管护机制，建设农民美丽宜居新家园。</w:t>
      </w:r>
    </w:p>
    <w:p>
      <w:pPr>
        <w:spacing w:line="600" w:lineRule="exact"/>
        <w:ind w:firstLine="640" w:firstLineChars="200"/>
        <w:rPr>
          <w:rFonts w:ascii="黑体" w:hAnsi="黑体" w:eastAsia="黑体" w:cs="宋体"/>
          <w:color w:val="000000"/>
          <w:kern w:val="0"/>
          <w:sz w:val="32"/>
          <w:szCs w:val="32"/>
        </w:rPr>
      </w:pPr>
      <w:r>
        <w:rPr>
          <w:rFonts w:hint="eastAsia" w:ascii="黑体" w:hAnsi="黑体" w:eastAsia="黑体" w:cs="宋体"/>
          <w:color w:val="000000"/>
          <w:kern w:val="0"/>
          <w:sz w:val="32"/>
          <w:szCs w:val="32"/>
        </w:rPr>
        <w:t>二、基本原则</w:t>
      </w:r>
    </w:p>
    <w:p>
      <w:pPr>
        <w:spacing w:line="600" w:lineRule="exact"/>
        <w:ind w:firstLine="640" w:firstLineChars="200"/>
        <w:rPr>
          <w:rFonts w:hint="eastAsia" w:ascii="仿宋_GB2312" w:hAnsi="宋体" w:eastAsia="仿宋_GB2312" w:cs="宋体"/>
          <w:color w:val="000000"/>
          <w:kern w:val="0"/>
          <w:sz w:val="32"/>
          <w:szCs w:val="32"/>
        </w:rPr>
      </w:pPr>
      <w:r>
        <w:rPr>
          <w:rFonts w:hint="eastAsia" w:ascii="仿宋_GB2312" w:eastAsia="仿宋_GB2312" w:cs="宋体"/>
          <w:color w:val="000000"/>
          <w:kern w:val="0"/>
          <w:sz w:val="32"/>
          <w:szCs w:val="32"/>
        </w:rPr>
        <w:t>——建管并重。已完成改厕的村庄和即将开展改厕的村庄，要把建立长效管护机制摆在突出位置、贯穿整治全过程，确保农村改厕日常管理落实到位、设施维修养护及时到位，避免重复改造和出现环境污染问题。</w:t>
      </w:r>
    </w:p>
    <w:p>
      <w:pPr>
        <w:spacing w:line="600" w:lineRule="exact"/>
        <w:ind w:firstLine="640" w:firstLineChars="200"/>
        <w:jc w:val="left"/>
        <w:rPr>
          <w:rFonts w:hint="eastAsia" w:ascii="仿宋_GB2312" w:hAnsi="宋体" w:eastAsia="仿宋_GB2312" w:cs="宋体"/>
          <w:color w:val="000000"/>
          <w:kern w:val="0"/>
          <w:sz w:val="32"/>
          <w:szCs w:val="32"/>
        </w:rPr>
      </w:pPr>
      <w:r>
        <w:rPr>
          <w:rFonts w:hint="eastAsia" w:ascii="仿宋_GB2312" w:eastAsia="仿宋_GB2312" w:cs="宋体"/>
          <w:color w:val="000000"/>
          <w:kern w:val="0"/>
          <w:sz w:val="32"/>
          <w:szCs w:val="32"/>
        </w:rPr>
        <w:t>——市场主导。发挥市场主体作用，多方参与，鼓励企业或个人参与改厕及检查维修、定期收运、回收利用等工作，建立完善管护服务价格补偿机制。</w:t>
      </w:r>
    </w:p>
    <w:p>
      <w:pPr>
        <w:spacing w:line="600" w:lineRule="exact"/>
        <w:ind w:firstLine="640" w:firstLineChars="200"/>
        <w:jc w:val="left"/>
        <w:rPr>
          <w:rFonts w:hint="eastAsia" w:ascii="仿宋_GB2312" w:hAnsi="宋体" w:eastAsia="仿宋_GB2312" w:cs="宋体"/>
          <w:color w:val="000000"/>
          <w:kern w:val="0"/>
          <w:sz w:val="32"/>
          <w:szCs w:val="32"/>
        </w:rPr>
      </w:pPr>
      <w:r>
        <w:rPr>
          <w:rFonts w:hint="eastAsia" w:ascii="仿宋_GB2312" w:eastAsia="仿宋_GB2312" w:cs="宋体"/>
          <w:color w:val="000000"/>
          <w:kern w:val="0"/>
          <w:sz w:val="32"/>
          <w:szCs w:val="32"/>
        </w:rPr>
        <w:t>——依靠群众。突出农民主体地位，尊重农民意愿要求，培养良好生活习惯，引导农民群众广泛参与厕所管护，共同珍惜和维护自己的美好家园。</w:t>
      </w:r>
    </w:p>
    <w:p>
      <w:pPr>
        <w:spacing w:line="600" w:lineRule="exact"/>
        <w:ind w:firstLine="640" w:firstLineChars="200"/>
        <w:jc w:val="left"/>
        <w:rPr>
          <w:rFonts w:hint="eastAsia" w:ascii="仿宋_GB2312" w:hAnsi="宋体" w:eastAsia="仿宋_GB2312" w:cs="宋体"/>
          <w:color w:val="000000"/>
          <w:kern w:val="0"/>
          <w:sz w:val="32"/>
          <w:szCs w:val="32"/>
        </w:rPr>
      </w:pPr>
      <w:r>
        <w:rPr>
          <w:rFonts w:hint="eastAsia" w:ascii="仿宋_GB2312" w:eastAsia="仿宋_GB2312" w:cs="宋体"/>
          <w:color w:val="000000"/>
          <w:kern w:val="0"/>
          <w:sz w:val="32"/>
          <w:szCs w:val="32"/>
        </w:rPr>
        <w:t>——多方协同。按照事权与财权相适应的要求，明确市、镇两级政府责任，理清各部门职责，加强统筹协调，明确任务分工，组织社会各方面力量积极参与，形成推进合力。</w:t>
      </w:r>
    </w:p>
    <w:p>
      <w:pPr>
        <w:spacing w:line="600" w:lineRule="exact"/>
        <w:ind w:firstLine="640" w:firstLineChars="200"/>
        <w:jc w:val="left"/>
        <w:rPr>
          <w:rFonts w:hint="eastAsia" w:ascii="仿宋_GB2312" w:hAnsi="宋体" w:eastAsia="仿宋_GB2312" w:cs="宋体"/>
          <w:color w:val="000000"/>
          <w:kern w:val="0"/>
          <w:sz w:val="32"/>
          <w:szCs w:val="32"/>
        </w:rPr>
      </w:pPr>
      <w:r>
        <w:rPr>
          <w:rFonts w:hint="eastAsia" w:ascii="仿宋_GB2312" w:eastAsia="仿宋_GB2312" w:cs="宋体"/>
          <w:color w:val="000000"/>
          <w:kern w:val="0"/>
          <w:sz w:val="32"/>
          <w:szCs w:val="32"/>
        </w:rPr>
        <w:t>——有机结合。将农村改厕和农村生活污水治理、城乡环卫一体化、农村环境综合整治、脱贫攻坚等工作统筹考虑，充分利用现有人员和设备，实现绿色、环保、低碳可持续发展。</w:t>
      </w:r>
    </w:p>
    <w:p>
      <w:pPr>
        <w:spacing w:line="600" w:lineRule="exact"/>
        <w:ind w:firstLine="640" w:firstLineChars="200"/>
        <w:rPr>
          <w:rFonts w:ascii="黑体" w:hAnsi="黑体" w:eastAsia="黑体" w:cs="宋体"/>
          <w:color w:val="000000"/>
          <w:kern w:val="0"/>
          <w:sz w:val="32"/>
          <w:szCs w:val="32"/>
        </w:rPr>
      </w:pPr>
      <w:r>
        <w:rPr>
          <w:rFonts w:hint="eastAsia" w:ascii="黑体" w:hAnsi="黑体" w:eastAsia="黑体" w:cs="宋体"/>
          <w:color w:val="000000"/>
          <w:kern w:val="0"/>
          <w:sz w:val="32"/>
          <w:szCs w:val="32"/>
        </w:rPr>
        <w:t>三、“五有”工作目标</w:t>
      </w:r>
    </w:p>
    <w:p>
      <w:pPr>
        <w:spacing w:line="600" w:lineRule="exact"/>
        <w:ind w:firstLine="640" w:firstLineChars="200"/>
        <w:rPr>
          <w:rFonts w:ascii="仿宋_GB2312" w:hAnsi="宋体" w:eastAsia="仿宋_GB2312" w:cs="宋体"/>
          <w:color w:val="000000"/>
          <w:kern w:val="0"/>
          <w:sz w:val="32"/>
          <w:szCs w:val="32"/>
        </w:rPr>
      </w:pPr>
      <w:r>
        <w:rPr>
          <w:rFonts w:hint="eastAsia" w:ascii="仿宋_GB2312" w:eastAsia="仿宋_GB2312" w:cs="宋体"/>
          <w:color w:val="000000"/>
          <w:kern w:val="0"/>
          <w:sz w:val="32"/>
          <w:szCs w:val="32"/>
        </w:rPr>
        <w:t>围绕提升群众对农村改厕工作满意度，将厕具的维修维护、粪液粪渣的收集清运处理、有效利用作为农村改厕后期工作的重点任务，建立起农村无害化卫生厕所长效管护机制。要努力做到“五有”：有制度，明确具体实施办法和责任人；有标准，明确维修、抽取、转运、处理的具体要求；有队伍，配备精干高效、责任心强的管护人员；有经费，保障日常管护工作的开展；有督查，通过多种途径推动管护机制的落实。</w:t>
      </w:r>
    </w:p>
    <w:p>
      <w:pPr>
        <w:spacing w:line="600" w:lineRule="exact"/>
        <w:ind w:firstLine="640" w:firstLineChars="200"/>
        <w:rPr>
          <w:rFonts w:hint="eastAsia" w:ascii="黑体" w:eastAsia="黑体"/>
          <w:color w:val="000000"/>
          <w:sz w:val="32"/>
          <w:szCs w:val="32"/>
        </w:rPr>
      </w:pPr>
      <w:r>
        <w:rPr>
          <w:rFonts w:hint="eastAsia" w:ascii="黑体" w:eastAsia="黑体"/>
          <w:color w:val="000000"/>
          <w:sz w:val="32"/>
          <w:szCs w:val="32"/>
        </w:rPr>
        <w:t>四、工作内容及要求</w:t>
      </w:r>
    </w:p>
    <w:p>
      <w:pPr>
        <w:spacing w:line="600" w:lineRule="exact"/>
        <w:ind w:firstLine="642" w:firstLineChars="200"/>
        <w:rPr>
          <w:rFonts w:hint="eastAsia"/>
          <w:color w:val="000000"/>
        </w:rPr>
      </w:pPr>
      <w:r>
        <w:rPr>
          <w:rFonts w:hint="eastAsia" w:ascii="楷体_GB2312" w:eastAsia="楷体_GB2312"/>
          <w:b/>
          <w:color w:val="000000"/>
          <w:sz w:val="32"/>
          <w:szCs w:val="32"/>
        </w:rPr>
        <w:t>（一）</w:t>
      </w:r>
      <w:r>
        <w:rPr>
          <w:rFonts w:hint="eastAsia" w:ascii="楷体_GB2312" w:eastAsia="楷体_GB2312" w:cs="宋体"/>
          <w:b/>
          <w:color w:val="000000"/>
          <w:kern w:val="0"/>
          <w:sz w:val="32"/>
          <w:szCs w:val="32"/>
        </w:rPr>
        <w:t>强化教育引导。</w:t>
      </w:r>
      <w:r>
        <w:rPr>
          <w:rFonts w:hint="eastAsia" w:ascii="仿宋_GB2312" w:eastAsia="仿宋_GB2312"/>
          <w:color w:val="000000"/>
          <w:sz w:val="32"/>
          <w:szCs w:val="32"/>
        </w:rPr>
        <w:t>各镇要积极教育引导农户转变生活方式，</w:t>
      </w:r>
      <w:r>
        <w:rPr>
          <w:rFonts w:ascii="仿宋_GB2312" w:eastAsia="仿宋_GB2312"/>
          <w:color w:val="000000"/>
          <w:sz w:val="32"/>
          <w:szCs w:val="32"/>
        </w:rPr>
        <w:t>改善生活环境，提高公共卫生水平</w:t>
      </w:r>
      <w:r>
        <w:rPr>
          <w:rFonts w:hint="eastAsia" w:ascii="仿宋_GB2312" w:eastAsia="仿宋_GB2312"/>
          <w:color w:val="000000"/>
          <w:sz w:val="32"/>
          <w:szCs w:val="32"/>
        </w:rPr>
        <w:t>。改厕完成后，要引导农户正确使用厕具，制定并在明显位置张贴简单易懂的厕所使用“明白纸”，同步告知农户使用方法及注意事项。要控制冲厕水量，在有效冲净便器的前提下，应尽量减少冲水次数。生活废水严禁进入化粪池。要避免杂物入厕，卫生纸、报纸及不可分解的杂物和菜叶、食物残渣等固体废弃物禁止扔入便器，以免造成堵塞和影响发酵效果。</w:t>
      </w:r>
    </w:p>
    <w:p>
      <w:pPr>
        <w:spacing w:line="600" w:lineRule="exact"/>
        <w:ind w:firstLine="642" w:firstLineChars="200"/>
        <w:rPr>
          <w:rFonts w:hint="eastAsia" w:ascii="仿宋_GB2312" w:eastAsia="仿宋_GB2312" w:cs="宋体"/>
          <w:color w:val="000000"/>
          <w:kern w:val="0"/>
          <w:sz w:val="32"/>
          <w:szCs w:val="32"/>
        </w:rPr>
      </w:pPr>
      <w:r>
        <w:rPr>
          <w:rFonts w:hint="eastAsia" w:ascii="楷体_GB2312" w:eastAsia="楷体_GB2312" w:cs="宋体"/>
          <w:b/>
          <w:color w:val="000000"/>
          <w:kern w:val="0"/>
          <w:sz w:val="32"/>
          <w:szCs w:val="32"/>
        </w:rPr>
        <w:t>（二）</w:t>
      </w:r>
      <w:r>
        <w:rPr>
          <w:rFonts w:ascii="楷体_GB2312" w:eastAsia="楷体_GB2312" w:cs="宋体"/>
          <w:b/>
          <w:color w:val="000000"/>
          <w:kern w:val="0"/>
          <w:sz w:val="32"/>
          <w:szCs w:val="32"/>
        </w:rPr>
        <w:t>健全</w:t>
      </w:r>
      <w:r>
        <w:rPr>
          <w:rFonts w:hint="eastAsia" w:ascii="楷体_GB2312" w:eastAsia="楷体_GB2312" w:cs="宋体"/>
          <w:b/>
          <w:color w:val="000000"/>
          <w:kern w:val="0"/>
          <w:sz w:val="32"/>
          <w:szCs w:val="32"/>
        </w:rPr>
        <w:t>管护</w:t>
      </w:r>
      <w:r>
        <w:rPr>
          <w:rFonts w:ascii="楷体_GB2312" w:eastAsia="楷体_GB2312" w:cs="宋体"/>
          <w:b/>
          <w:color w:val="000000"/>
          <w:kern w:val="0"/>
          <w:sz w:val="32"/>
          <w:szCs w:val="32"/>
        </w:rPr>
        <w:t>队伍</w:t>
      </w:r>
      <w:r>
        <w:rPr>
          <w:rFonts w:hint="eastAsia" w:ascii="楷体_GB2312" w:eastAsia="楷体_GB2312" w:cs="宋体"/>
          <w:b/>
          <w:color w:val="000000"/>
          <w:kern w:val="0"/>
          <w:sz w:val="32"/>
          <w:szCs w:val="32"/>
        </w:rPr>
        <w:t>。</w:t>
      </w:r>
      <w:r>
        <w:rPr>
          <w:rFonts w:hint="eastAsia" w:ascii="仿宋_GB2312" w:eastAsia="仿宋_GB2312" w:cs="宋体"/>
          <w:color w:val="000000"/>
          <w:kern w:val="0"/>
          <w:sz w:val="32"/>
          <w:szCs w:val="32"/>
        </w:rPr>
        <w:t>各镇要</w:t>
      </w:r>
      <w:r>
        <w:rPr>
          <w:rFonts w:hint="eastAsia" w:ascii="仿宋_GB2312" w:eastAsia="仿宋_GB2312"/>
          <w:color w:val="000000"/>
          <w:sz w:val="32"/>
          <w:szCs w:val="32"/>
        </w:rPr>
        <w:t>进一步增强镇域内维修管理队伍力量，配齐配足改厕管护人员。</w:t>
      </w:r>
      <w:r>
        <w:rPr>
          <w:rFonts w:hint="eastAsia" w:ascii="仿宋_GB2312" w:eastAsia="仿宋_GB2312" w:cs="宋体"/>
          <w:color w:val="000000"/>
          <w:kern w:val="0"/>
          <w:sz w:val="32"/>
          <w:szCs w:val="32"/>
        </w:rPr>
        <w:t>根据“群众的事群众办，村级的事村级管”的原则，鼓励村、企业或个人成立农村卫生厕所管护服务站，具体负责对改后厕所维修维护、定期收运粪液粪渣并进行资源化无害化处理。各镇也可根据实际情况，或建立专门粪液粪渣收运队伍，或利用现有城乡环卫一体化和农村沼气服务合作社现有队伍设备，对改后厕所进行统一管理，定期统一收集、统一运输，统一进行无害化处理和资源化利用。</w:t>
      </w:r>
    </w:p>
    <w:p>
      <w:pPr>
        <w:spacing w:line="600" w:lineRule="exact"/>
        <w:ind w:firstLine="642" w:firstLineChars="200"/>
        <w:jc w:val="left"/>
        <w:rPr>
          <w:rFonts w:hint="eastAsia" w:ascii="仿宋_GB2312" w:eastAsia="仿宋_GB2312"/>
          <w:color w:val="000000"/>
          <w:kern w:val="0"/>
          <w:sz w:val="32"/>
          <w:szCs w:val="32"/>
        </w:rPr>
      </w:pPr>
      <w:r>
        <w:rPr>
          <w:rFonts w:hint="eastAsia" w:ascii="楷体_GB2312" w:eastAsia="楷体_GB2312" w:cs="宋体"/>
          <w:b/>
          <w:color w:val="000000"/>
          <w:kern w:val="0"/>
          <w:sz w:val="32"/>
          <w:szCs w:val="32"/>
        </w:rPr>
        <w:t>（三）</w:t>
      </w:r>
      <w:r>
        <w:rPr>
          <w:rFonts w:hint="eastAsia" w:ascii="楷体_GB2312" w:eastAsia="楷体_GB2312"/>
          <w:b/>
          <w:color w:val="000000"/>
          <w:kern w:val="0"/>
          <w:sz w:val="32"/>
          <w:szCs w:val="32"/>
        </w:rPr>
        <w:t>规范收运行为。</w:t>
      </w:r>
      <w:r>
        <w:rPr>
          <w:rFonts w:hint="eastAsia" w:ascii="仿宋_GB2312" w:eastAsia="仿宋_GB2312"/>
          <w:color w:val="000000"/>
          <w:kern w:val="0"/>
          <w:sz w:val="32"/>
          <w:szCs w:val="32"/>
        </w:rPr>
        <w:t>各镇要定期组织改厕后粪液粪渣清掏处理工作，严禁出现管道阻塞或漫溢现象。要加强粪液粪渣收集运输管理，严禁出现私拉乱运、随意倾倒行为，确保粪液粪渣清运管理规范</w:t>
      </w:r>
      <w:r>
        <w:rPr>
          <w:rFonts w:hint="eastAsia" w:ascii="仿宋_GB2312" w:eastAsia="仿宋_GB2312"/>
          <w:color w:val="000000"/>
          <w:sz w:val="32"/>
          <w:szCs w:val="32"/>
        </w:rPr>
        <w:t>化、秩序化</w:t>
      </w:r>
      <w:r>
        <w:rPr>
          <w:rFonts w:hint="eastAsia" w:ascii="仿宋_GB2312" w:eastAsia="仿宋_GB2312"/>
          <w:color w:val="000000"/>
          <w:kern w:val="0"/>
          <w:sz w:val="32"/>
          <w:szCs w:val="32"/>
        </w:rPr>
        <w:t>。</w:t>
      </w:r>
    </w:p>
    <w:p>
      <w:pPr>
        <w:spacing w:line="600" w:lineRule="exact"/>
        <w:ind w:firstLine="642" w:firstLineChars="200"/>
        <w:rPr>
          <w:rFonts w:hint="eastAsia" w:ascii="楷体_GB2312" w:eastAsia="楷体_GB2312" w:cs="宋体"/>
          <w:b/>
          <w:color w:val="000000"/>
          <w:kern w:val="0"/>
          <w:sz w:val="32"/>
          <w:szCs w:val="32"/>
        </w:rPr>
      </w:pPr>
      <w:r>
        <w:rPr>
          <w:rFonts w:hint="eastAsia" w:ascii="楷体_GB2312" w:eastAsia="楷体_GB2312"/>
          <w:b/>
          <w:color w:val="000000"/>
          <w:kern w:val="0"/>
          <w:sz w:val="32"/>
          <w:szCs w:val="32"/>
        </w:rPr>
        <w:t>（四）</w:t>
      </w:r>
      <w:r>
        <w:rPr>
          <w:rFonts w:hint="eastAsia" w:ascii="楷体_GB2312" w:eastAsia="楷体_GB2312"/>
          <w:b/>
          <w:color w:val="000000"/>
          <w:sz w:val="32"/>
          <w:szCs w:val="32"/>
        </w:rPr>
        <w:t>健全社会化运作机制。</w:t>
      </w:r>
      <w:r>
        <w:rPr>
          <w:rFonts w:hint="eastAsia" w:ascii="仿宋_GB2312" w:eastAsia="仿宋_GB2312"/>
          <w:color w:val="000000"/>
          <w:sz w:val="32"/>
          <w:szCs w:val="32"/>
        </w:rPr>
        <w:t>各镇可通过市场化运作模式，与苗木培育、林果种植、有机农作物种植等大型种植企业（户）合作，由各镇统一购置吸粪车或由各种植企业（户）自行购置吸粪车进行粪液粪渣收集，收集后的粪液粪渣作为有机肥使用。对于厕具的管护维修，质保期内由厕具中标企业进行维修，质保期外由农村卫生厕所</w:t>
      </w:r>
      <w:r>
        <w:rPr>
          <w:rFonts w:hint="eastAsia" w:ascii="仿宋_GB2312" w:eastAsia="仿宋_GB2312" w:cs="宋体"/>
          <w:color w:val="000000"/>
          <w:kern w:val="0"/>
          <w:sz w:val="32"/>
          <w:szCs w:val="32"/>
        </w:rPr>
        <w:t>管护</w:t>
      </w:r>
      <w:r>
        <w:rPr>
          <w:rFonts w:hint="eastAsia" w:ascii="仿宋_GB2312" w:eastAsia="仿宋_GB2312"/>
          <w:color w:val="000000"/>
          <w:sz w:val="32"/>
          <w:szCs w:val="32"/>
        </w:rPr>
        <w:t>服务站或中标企业设置的售后服务机构进行维修。实行改厕管护维护社会化服务和市场化运作，切实解决群众的后顾之忧。</w:t>
      </w:r>
    </w:p>
    <w:p>
      <w:pPr>
        <w:spacing w:line="600" w:lineRule="exact"/>
        <w:ind w:firstLine="642" w:firstLineChars="200"/>
        <w:rPr>
          <w:rFonts w:hint="eastAsia" w:ascii="仿宋_GB2312" w:eastAsia="仿宋_GB2312" w:cs="宋体"/>
          <w:color w:val="000000"/>
          <w:kern w:val="0"/>
          <w:sz w:val="32"/>
          <w:szCs w:val="32"/>
        </w:rPr>
      </w:pPr>
      <w:r>
        <w:rPr>
          <w:rFonts w:hint="eastAsia" w:ascii="楷体_GB2312" w:eastAsia="楷体_GB2312"/>
          <w:b/>
          <w:color w:val="000000"/>
          <w:sz w:val="32"/>
          <w:szCs w:val="32"/>
        </w:rPr>
        <w:t>（五）</w:t>
      </w:r>
      <w:r>
        <w:rPr>
          <w:rFonts w:hint="eastAsia" w:ascii="楷体_GB2312" w:eastAsia="楷体_GB2312" w:cs="宋体"/>
          <w:b/>
          <w:color w:val="000000"/>
          <w:kern w:val="0"/>
          <w:sz w:val="32"/>
          <w:szCs w:val="32"/>
        </w:rPr>
        <w:t>实现粪渣资源化利用。</w:t>
      </w:r>
      <w:r>
        <w:rPr>
          <w:rFonts w:hint="eastAsia" w:ascii="仿宋_GB2312" w:eastAsia="仿宋_GB2312" w:cs="宋体"/>
          <w:color w:val="000000"/>
          <w:kern w:val="0"/>
          <w:sz w:val="32"/>
          <w:szCs w:val="32"/>
        </w:rPr>
        <w:t>按照“无害化处理、资源化利用”的工作要求，因地制宜，科学合理选择处理方式，全面做好改厕后续粪液粪渣处理工作。鼓励现有化肥或堆肥厂进行升级改造，接纳改厕后产生的粪渣，并进行资源化利用。各镇及各有关部门要研究制定对粪液粪渣资源化利用企业的用地、用电、用水、税收等优惠政策，为有机粪肥等相关企业营造良好的发展环境，培育粪液粪渣利用市场，扶持企业做强做大。</w:t>
      </w:r>
    </w:p>
    <w:p>
      <w:pPr>
        <w:spacing w:line="600" w:lineRule="exact"/>
        <w:ind w:firstLine="640" w:firstLineChars="200"/>
        <w:rPr>
          <w:rFonts w:ascii="黑体" w:hAnsi="黑体" w:eastAsia="黑体" w:cs="宋体"/>
          <w:color w:val="000000"/>
          <w:kern w:val="0"/>
          <w:sz w:val="32"/>
          <w:szCs w:val="32"/>
        </w:rPr>
      </w:pPr>
      <w:r>
        <w:rPr>
          <w:rFonts w:hint="eastAsia" w:ascii="黑体" w:hAnsi="黑体" w:eastAsia="黑体" w:cs="宋体"/>
          <w:color w:val="000000"/>
          <w:kern w:val="0"/>
          <w:sz w:val="32"/>
          <w:szCs w:val="32"/>
        </w:rPr>
        <w:t>五、保障措施</w:t>
      </w:r>
    </w:p>
    <w:p>
      <w:pPr>
        <w:spacing w:line="600" w:lineRule="exact"/>
        <w:ind w:firstLine="642" w:firstLineChars="200"/>
        <w:rPr>
          <w:rFonts w:hint="eastAsia" w:ascii="仿宋_GB2312" w:eastAsia="仿宋_GB2312" w:cs="宋体"/>
          <w:color w:val="000000"/>
          <w:kern w:val="0"/>
          <w:sz w:val="32"/>
          <w:szCs w:val="32"/>
        </w:rPr>
      </w:pPr>
      <w:r>
        <w:rPr>
          <w:rFonts w:hint="eastAsia" w:ascii="楷体_GB2312" w:eastAsia="楷体_GB2312" w:cs="宋体"/>
          <w:b/>
          <w:color w:val="000000"/>
          <w:kern w:val="0"/>
          <w:sz w:val="32"/>
          <w:szCs w:val="32"/>
        </w:rPr>
        <w:t>（一）加强组织领导。</w:t>
      </w:r>
      <w:r>
        <w:rPr>
          <w:rFonts w:hint="eastAsia" w:ascii="仿宋_GB2312" w:eastAsia="仿宋_GB2312" w:cs="宋体"/>
          <w:color w:val="000000"/>
          <w:kern w:val="0"/>
          <w:sz w:val="32"/>
          <w:szCs w:val="32"/>
        </w:rPr>
        <w:t>厕具维修维护、粪液粪渣无害化处理和资源化利用情况，直接关系改厕工作群众是否满意、环境保护是否到位，是农村改厕的重中之重。各镇要高度重视，</w:t>
      </w:r>
      <w:r>
        <w:rPr>
          <w:rFonts w:hint="eastAsia" w:ascii="仿宋_GB2312" w:eastAsia="仿宋_GB2312"/>
          <w:color w:val="000000"/>
          <w:sz w:val="32"/>
          <w:szCs w:val="32"/>
        </w:rPr>
        <w:t>切实将改厕后续管护工作作为改善民生的重要工作来抓，</w:t>
      </w:r>
      <w:r>
        <w:rPr>
          <w:rFonts w:hint="eastAsia" w:ascii="仿宋_GB2312" w:eastAsia="仿宋_GB2312" w:cs="宋体"/>
          <w:color w:val="000000"/>
          <w:kern w:val="0"/>
          <w:sz w:val="32"/>
          <w:szCs w:val="32"/>
        </w:rPr>
        <w:t>加强厕具维护、粪液粪渣收运处理、有效利用等</w:t>
      </w:r>
      <w:r>
        <w:rPr>
          <w:rFonts w:ascii="仿宋_GB2312" w:eastAsia="仿宋_GB2312" w:cs="宋体"/>
          <w:color w:val="000000"/>
          <w:kern w:val="0"/>
          <w:sz w:val="32"/>
          <w:szCs w:val="32"/>
        </w:rPr>
        <w:t>后续管护</w:t>
      </w:r>
      <w:r>
        <w:rPr>
          <w:rFonts w:hint="eastAsia" w:ascii="仿宋_GB2312" w:eastAsia="仿宋_GB2312" w:cs="宋体"/>
          <w:color w:val="000000"/>
          <w:kern w:val="0"/>
          <w:sz w:val="32"/>
          <w:szCs w:val="32"/>
        </w:rPr>
        <w:t>工作的组织领导，</w:t>
      </w:r>
      <w:r>
        <w:rPr>
          <w:rFonts w:ascii="仿宋_GB2312" w:eastAsia="仿宋_GB2312" w:cs="宋体"/>
          <w:color w:val="000000"/>
          <w:kern w:val="0"/>
          <w:sz w:val="32"/>
          <w:szCs w:val="32"/>
        </w:rPr>
        <w:t>明确</w:t>
      </w:r>
      <w:r>
        <w:rPr>
          <w:rFonts w:hint="eastAsia" w:ascii="仿宋_GB2312" w:eastAsia="仿宋_GB2312" w:cs="宋体"/>
          <w:color w:val="000000"/>
          <w:kern w:val="0"/>
          <w:sz w:val="32"/>
          <w:szCs w:val="32"/>
        </w:rPr>
        <w:t>工作</w:t>
      </w:r>
      <w:r>
        <w:rPr>
          <w:rFonts w:ascii="仿宋_GB2312" w:eastAsia="仿宋_GB2312" w:cs="宋体"/>
          <w:color w:val="000000"/>
          <w:kern w:val="0"/>
          <w:sz w:val="32"/>
          <w:szCs w:val="32"/>
        </w:rPr>
        <w:t>重点、标准，制定工作方案，落实分工，</w:t>
      </w:r>
      <w:r>
        <w:rPr>
          <w:rFonts w:hint="eastAsia" w:ascii="仿宋_GB2312" w:eastAsia="仿宋_GB2312" w:cs="宋体"/>
          <w:color w:val="000000"/>
          <w:kern w:val="0"/>
          <w:sz w:val="32"/>
          <w:szCs w:val="32"/>
        </w:rPr>
        <w:t>全过程全方位抓好落实。</w:t>
      </w:r>
    </w:p>
    <w:p>
      <w:pPr>
        <w:spacing w:line="600" w:lineRule="exact"/>
        <w:ind w:firstLine="642" w:firstLineChars="200"/>
        <w:rPr>
          <w:rFonts w:hint="eastAsia" w:ascii="仿宋_GB2312" w:eastAsia="仿宋_GB2312"/>
          <w:color w:val="000000"/>
          <w:sz w:val="32"/>
          <w:szCs w:val="32"/>
        </w:rPr>
      </w:pPr>
      <w:r>
        <w:rPr>
          <w:rFonts w:hint="eastAsia" w:ascii="楷体_GB2312" w:eastAsia="楷体_GB2312" w:cs="宋体"/>
          <w:b/>
          <w:color w:val="000000"/>
          <w:kern w:val="0"/>
          <w:sz w:val="32"/>
          <w:szCs w:val="32"/>
        </w:rPr>
        <w:t>（二）</w:t>
      </w:r>
      <w:r>
        <w:rPr>
          <w:rFonts w:hint="eastAsia" w:ascii="楷体_GB2312" w:eastAsia="楷体_GB2312"/>
          <w:b/>
          <w:color w:val="000000"/>
          <w:sz w:val="32"/>
          <w:szCs w:val="32"/>
        </w:rPr>
        <w:t>明确责任分工</w:t>
      </w:r>
      <w:r>
        <w:rPr>
          <w:rFonts w:hint="eastAsia" w:eastAsia="楷体_GB2312"/>
          <w:b/>
          <w:color w:val="000000"/>
          <w:sz w:val="32"/>
          <w:szCs w:val="32"/>
        </w:rPr>
        <w:t> </w:t>
      </w:r>
      <w:r>
        <w:rPr>
          <w:rFonts w:hint="eastAsia" w:ascii="楷体_GB2312" w:eastAsia="楷体_GB2312"/>
          <w:b/>
          <w:color w:val="000000"/>
          <w:sz w:val="32"/>
          <w:szCs w:val="32"/>
        </w:rPr>
        <w:t>。</w:t>
      </w:r>
      <w:r>
        <w:rPr>
          <w:rFonts w:hint="eastAsia" w:ascii="仿宋_GB2312" w:eastAsia="仿宋_GB2312"/>
          <w:color w:val="000000"/>
          <w:sz w:val="32"/>
          <w:szCs w:val="32"/>
        </w:rPr>
        <w:t>按照“属地管理”的原则，各镇人民政府是改厕后续长效管护工作的责任</w:t>
      </w:r>
      <w:r>
        <w:rPr>
          <w:rFonts w:ascii="仿宋_GB2312" w:eastAsia="仿宋_GB2312"/>
          <w:color w:val="000000"/>
          <w:sz w:val="32"/>
          <w:szCs w:val="32"/>
        </w:rPr>
        <w:t>主体</w:t>
      </w:r>
      <w:r>
        <w:rPr>
          <w:rFonts w:hint="eastAsia" w:ascii="仿宋_GB2312" w:eastAsia="仿宋_GB2312"/>
          <w:color w:val="000000"/>
          <w:sz w:val="32"/>
          <w:szCs w:val="32"/>
        </w:rPr>
        <w:t>。</w:t>
      </w:r>
      <w:r>
        <w:rPr>
          <w:rFonts w:ascii="仿宋_GB2312" w:eastAsia="仿宋_GB2312"/>
          <w:color w:val="000000"/>
          <w:sz w:val="32"/>
          <w:szCs w:val="32"/>
        </w:rPr>
        <w:t>各</w:t>
      </w:r>
      <w:r>
        <w:rPr>
          <w:rFonts w:hint="eastAsia" w:ascii="仿宋_GB2312" w:eastAsia="仿宋_GB2312"/>
          <w:color w:val="000000"/>
          <w:sz w:val="32"/>
          <w:szCs w:val="32"/>
        </w:rPr>
        <w:t>改厕村</w:t>
      </w:r>
      <w:r>
        <w:rPr>
          <w:rFonts w:ascii="仿宋_GB2312" w:eastAsia="仿宋_GB2312"/>
          <w:color w:val="000000"/>
          <w:sz w:val="32"/>
          <w:szCs w:val="32"/>
        </w:rPr>
        <w:t>要</w:t>
      </w:r>
      <w:r>
        <w:rPr>
          <w:rFonts w:hint="eastAsia" w:ascii="仿宋_GB2312" w:eastAsia="仿宋_GB2312"/>
          <w:color w:val="000000"/>
          <w:sz w:val="32"/>
          <w:szCs w:val="32"/>
        </w:rPr>
        <w:t>落实辖区负责制，加强对村庄内改后厕所的规范管理，努力实现常态化、秩序化目标。市农村无害化卫生厕所改造工作领导小组办公室负责检查、指导、督促各镇做好改厕后续工作，全面做好对各镇的考核。各镇要加快建立健全</w:t>
      </w:r>
      <w:r>
        <w:rPr>
          <w:rFonts w:ascii="仿宋_GB2312" w:eastAsia="仿宋_GB2312"/>
          <w:color w:val="000000"/>
          <w:sz w:val="32"/>
          <w:szCs w:val="32"/>
        </w:rPr>
        <w:t>粪液粪渣</w:t>
      </w:r>
      <w:r>
        <w:rPr>
          <w:rFonts w:hint="eastAsia" w:ascii="仿宋_GB2312" w:eastAsia="仿宋_GB2312"/>
          <w:color w:val="000000"/>
          <w:sz w:val="32"/>
          <w:szCs w:val="32"/>
        </w:rPr>
        <w:t>收运和处理体系，落实长效管理措施，切实将改厕后续粪</w:t>
      </w:r>
      <w:r>
        <w:rPr>
          <w:rFonts w:ascii="仿宋_GB2312" w:eastAsia="仿宋_GB2312"/>
          <w:color w:val="000000"/>
          <w:sz w:val="32"/>
          <w:szCs w:val="32"/>
        </w:rPr>
        <w:t>液粪渣</w:t>
      </w:r>
      <w:r>
        <w:rPr>
          <w:rFonts w:hint="eastAsia" w:ascii="仿宋_GB2312" w:eastAsia="仿宋_GB2312"/>
          <w:color w:val="000000"/>
          <w:sz w:val="32"/>
          <w:szCs w:val="32"/>
        </w:rPr>
        <w:t>收运处理作为改善民生的基础性工作抓实、抓好，确保镇域内粪液粪渣管理有序、应收尽收、及时清运、无害处理、有效利用，为广大农民群众创造良好的生产生活环境。</w:t>
      </w:r>
    </w:p>
    <w:p>
      <w:pPr>
        <w:spacing w:line="600" w:lineRule="exact"/>
        <w:ind w:firstLine="629" w:firstLineChars="196"/>
        <w:jc w:val="left"/>
        <w:rPr>
          <w:rFonts w:hint="eastAsia" w:ascii="仿宋_GB2312" w:eastAsia="仿宋_GB2312" w:cs="宋体"/>
          <w:color w:val="000000"/>
          <w:kern w:val="0"/>
          <w:sz w:val="32"/>
          <w:szCs w:val="32"/>
        </w:rPr>
      </w:pPr>
      <w:r>
        <w:rPr>
          <w:rFonts w:hint="eastAsia" w:ascii="楷体_GB2312" w:eastAsia="楷体_GB2312"/>
          <w:b/>
          <w:color w:val="000000"/>
          <w:sz w:val="32"/>
          <w:szCs w:val="32"/>
        </w:rPr>
        <w:t>（三）</w:t>
      </w:r>
      <w:r>
        <w:rPr>
          <w:rFonts w:hint="eastAsia" w:ascii="楷体_GB2312" w:eastAsia="楷体_GB2312" w:cs="宋体"/>
          <w:b/>
          <w:color w:val="000000"/>
          <w:kern w:val="0"/>
          <w:sz w:val="32"/>
          <w:szCs w:val="32"/>
        </w:rPr>
        <w:t>强化资金保障。</w:t>
      </w:r>
      <w:r>
        <w:rPr>
          <w:rFonts w:hint="eastAsia" w:ascii="仿宋_GB2312" w:eastAsia="仿宋_GB2312" w:cs="宋体"/>
          <w:color w:val="000000"/>
          <w:kern w:val="0"/>
          <w:sz w:val="32"/>
          <w:szCs w:val="32"/>
        </w:rPr>
        <w:t>各镇要结合各自实际，建立健全后续管理资金保障机制，将改厕管护资金纳入财政预算，确保改厕后续日常管护工作的开展。按照政府补助引导、集体和社会资助、群众自筹相结合的原则，多方筹集改厕后续管护资金，减轻群众负担。按照农户受益农户付费的原则，逐步建立农村改厕改水农户缴费制度，综合考虑经济社会承受能力、农村居民意愿等因素，合理确定缴费标准，倡导有条件的村集体和社会资助，建立多元化资金保障机制。</w:t>
      </w:r>
    </w:p>
    <w:p>
      <w:pPr>
        <w:spacing w:line="600" w:lineRule="exact"/>
        <w:ind w:firstLine="629" w:firstLineChars="196"/>
        <w:rPr>
          <w:rFonts w:hint="eastAsia" w:ascii="仿宋_GB2312" w:eastAsia="仿宋_GB2312" w:cs="宋体"/>
          <w:color w:val="000000"/>
          <w:kern w:val="0"/>
          <w:sz w:val="32"/>
          <w:szCs w:val="32"/>
        </w:rPr>
      </w:pPr>
      <w:r>
        <w:rPr>
          <w:rFonts w:hint="eastAsia" w:ascii="楷体_GB2312" w:eastAsia="楷体_GB2312"/>
          <w:b/>
          <w:color w:val="000000"/>
          <w:sz w:val="32"/>
          <w:szCs w:val="32"/>
        </w:rPr>
        <w:t>（四）严格督查问责</w:t>
      </w:r>
      <w:r>
        <w:rPr>
          <w:rFonts w:hint="eastAsia" w:eastAsia="楷体_GB2312"/>
          <w:b/>
          <w:color w:val="000000"/>
          <w:sz w:val="32"/>
          <w:szCs w:val="32"/>
        </w:rPr>
        <w:t> 。</w:t>
      </w:r>
      <w:r>
        <w:rPr>
          <w:rFonts w:hint="eastAsia" w:ascii="仿宋_GB2312" w:eastAsia="仿宋_GB2312" w:cs="宋体"/>
          <w:color w:val="000000"/>
          <w:sz w:val="32"/>
          <w:szCs w:val="32"/>
        </w:rPr>
        <w:t>市农村无害化卫生厕所改造工作领导小组将组织相关部门通过现场督查、电话调查、实地暗访等方式，加强对各镇长效管护机制建立情况的监管。对厕具无人管护、粪液粪渣未组织抽取的，将责成相关镇进行整改，对</w:t>
      </w:r>
      <w:r>
        <w:rPr>
          <w:rFonts w:hint="eastAsia" w:ascii="仿宋_GB2312" w:eastAsia="仿宋_GB2312"/>
          <w:color w:val="000000"/>
          <w:sz w:val="32"/>
          <w:szCs w:val="32"/>
        </w:rPr>
        <w:t>群众反映强烈、长期得不到解决的问题，涉及镇必须认真研究，限时解决，</w:t>
      </w:r>
      <w:r>
        <w:rPr>
          <w:rFonts w:hint="eastAsia" w:ascii="仿宋_GB2312" w:eastAsia="仿宋_GB2312" w:cs="宋体"/>
          <w:color w:val="000000"/>
          <w:sz w:val="32"/>
          <w:szCs w:val="32"/>
        </w:rPr>
        <w:t>问题严</w:t>
      </w:r>
      <w:r>
        <w:rPr>
          <w:rFonts w:hint="eastAsia" w:ascii="仿宋_GB2312" w:eastAsia="仿宋_GB2312"/>
          <w:color w:val="000000"/>
          <w:sz w:val="32"/>
          <w:szCs w:val="32"/>
        </w:rPr>
        <w:t>重的约谈镇党委、政府有关负责同志。要通过公开曝光、奖优罚劣、约谈通报等措施，增强各镇做好农村改厕后续管护工作的自觉性。对因政府部门履职不到位，造成环境污染事件的，依法依规追究</w:t>
      </w:r>
      <w:r>
        <w:rPr>
          <w:rFonts w:ascii="仿宋_GB2312" w:eastAsia="仿宋_GB2312"/>
          <w:color w:val="000000"/>
          <w:sz w:val="32"/>
          <w:szCs w:val="32"/>
        </w:rPr>
        <w:t>相关责任人的责</w:t>
      </w:r>
      <w:r>
        <w:rPr>
          <w:rFonts w:ascii="仿宋_GB2312" w:eastAsia="仿宋_GB2312" w:cs="宋体"/>
          <w:color w:val="000000"/>
          <w:sz w:val="32"/>
          <w:szCs w:val="32"/>
        </w:rPr>
        <w:t>任。 </w:t>
      </w:r>
    </w:p>
    <w:p>
      <w:pPr>
        <w:spacing w:line="600" w:lineRule="exact"/>
        <w:ind w:firstLine="320" w:firstLineChars="100"/>
        <w:rPr>
          <w:rFonts w:hint="eastAsia" w:ascii="仿宋_GB2312" w:hAnsi="宋体" w:eastAsia="仿宋_GB2312" w:cs="宋体"/>
          <w:color w:val="000000"/>
          <w:kern w:val="0"/>
          <w:sz w:val="32"/>
          <w:szCs w:val="32"/>
        </w:rPr>
      </w:pPr>
    </w:p>
    <w:p>
      <w:pPr>
        <w:spacing w:line="600" w:lineRule="exact"/>
        <w:ind w:firstLine="320" w:firstLineChars="100"/>
        <w:jc w:val="left"/>
        <w:rPr>
          <w:rFonts w:hint="eastAsia" w:ascii="仿宋_GB2312" w:hAnsi="宋体" w:eastAsia="仿宋_GB2312" w:cs="宋体"/>
          <w:color w:val="000000"/>
          <w:kern w:val="0"/>
          <w:sz w:val="32"/>
          <w:szCs w:val="32"/>
        </w:rPr>
      </w:pPr>
    </w:p>
    <w:p>
      <w:pPr>
        <w:jc w:val="left"/>
        <w:rPr>
          <w:rFonts w:hint="eastAsia"/>
          <w:color w:val="000000"/>
        </w:rPr>
      </w:pPr>
    </w:p>
    <w:p>
      <w:pPr>
        <w:jc w:val="left"/>
        <w:rPr>
          <w:rFonts w:hint="eastAsia"/>
          <w:color w:val="000000"/>
        </w:rPr>
      </w:pPr>
    </w:p>
    <w:p>
      <w:pPr>
        <w:jc w:val="left"/>
        <w:rPr>
          <w:rFonts w:hint="eastAsia"/>
          <w:color w:val="000000"/>
        </w:rPr>
      </w:pPr>
    </w:p>
    <w:p>
      <w:pPr>
        <w:jc w:val="left"/>
        <w:rPr>
          <w:rFonts w:hint="eastAsia"/>
          <w:color w:val="000000"/>
        </w:rPr>
      </w:pPr>
    </w:p>
    <w:p>
      <w:pPr>
        <w:jc w:val="left"/>
        <w:rPr>
          <w:rFonts w:hint="eastAsia"/>
          <w:color w:val="000000"/>
        </w:rPr>
      </w:pPr>
    </w:p>
    <w:p>
      <w:pPr>
        <w:jc w:val="left"/>
        <w:rPr>
          <w:rFonts w:hint="eastAsia"/>
          <w:color w:val="000000"/>
        </w:rPr>
      </w:pPr>
    </w:p>
    <w:p>
      <w:pPr>
        <w:jc w:val="left"/>
        <w:rPr>
          <w:rFonts w:hint="eastAsia"/>
          <w:color w:val="000000"/>
        </w:rPr>
      </w:pPr>
    </w:p>
    <w:p>
      <w:pPr>
        <w:jc w:val="left"/>
        <w:rPr>
          <w:rFonts w:hint="eastAsia"/>
          <w:color w:val="000000"/>
        </w:rPr>
      </w:pPr>
    </w:p>
    <w:p>
      <w:pPr>
        <w:spacing w:line="400" w:lineRule="exact"/>
        <w:jc w:val="right"/>
        <w:rPr>
          <w:rFonts w:hint="eastAsia" w:ascii="仿宋_GB2312" w:hAnsi="Arial" w:eastAsia="仿宋_GB2312"/>
          <w:color w:val="000000"/>
          <w:sz w:val="32"/>
          <w:szCs w:val="32"/>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widowControl/>
        <w:jc w:val="left"/>
        <w:rPr>
          <w:rFonts w:hint="eastAsia"/>
        </w:rPr>
      </w:pPr>
    </w:p>
    <w:p>
      <w:pPr>
        <w:jc w:val="left"/>
        <w:rPr>
          <w:rFonts w:hint="eastAsia"/>
        </w:rPr>
      </w:pPr>
    </w:p>
    <w:p>
      <w:pPr>
        <w:jc w:val="left"/>
        <w:rPr>
          <w:rFonts w:hint="eastAsia"/>
        </w:rPr>
      </w:pPr>
    </w:p>
    <w:p>
      <w:pPr>
        <w:jc w:val="left"/>
        <w:rPr>
          <w:rFonts w:hint="eastAsia"/>
        </w:rPr>
      </w:pPr>
    </w:p>
    <w:p>
      <w:pPr>
        <w:spacing w:line="560" w:lineRule="exact"/>
        <w:ind w:firstLine="627" w:firstLineChars="196"/>
        <w:rPr>
          <w:rFonts w:hint="eastAsia" w:ascii="仿宋_GB2312" w:eastAsia="仿宋_GB2312"/>
          <w:color w:val="000000"/>
          <w:sz w:val="32"/>
          <w:szCs w:val="32"/>
        </w:rPr>
      </w:pPr>
      <w:r>
        <w:rPr>
          <w:rFonts w:hint="eastAsia" w:ascii="仿宋_GB2312" w:eastAsia="仿宋_GB2312"/>
          <w:color w:val="000000"/>
          <w:sz w:val="32"/>
          <w:szCs w:val="32"/>
        </w:rPr>
        <w:t>（此页无正文）</w:t>
      </w: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jc w:val="left"/>
        <w:rPr>
          <w:rFonts w:hint="eastAsia"/>
        </w:rPr>
      </w:pPr>
    </w:p>
    <w:p>
      <w:pPr>
        <w:spacing w:line="400" w:lineRule="exact"/>
        <w:jc w:val="right"/>
        <w:rPr>
          <w:rFonts w:hint="eastAsia" w:ascii="仿宋_GB2312" w:hAnsi="Arial" w:eastAsia="仿宋_GB2312"/>
          <w:color w:val="000000"/>
          <w:sz w:val="32"/>
          <w:szCs w:val="32"/>
        </w:rPr>
      </w:pPr>
    </w:p>
    <w:p>
      <w:pPr>
        <w:spacing w:line="400" w:lineRule="exact"/>
        <w:jc w:val="right"/>
        <w:rPr>
          <w:rFonts w:ascii="仿宋_GB2312" w:hAnsi="Arial" w:eastAsia="仿宋_GB2312"/>
          <w:color w:val="000000"/>
          <w:sz w:val="32"/>
          <w:szCs w:val="32"/>
        </w:rPr>
      </w:pPr>
      <w:r>
        <w:rPr>
          <w:color w:val="000000"/>
          <w:lang w:val="en-US" w:eastAsia="zh-CN"/>
        </w:rPr>
        <mc:AlternateContent>
          <mc:Choice Requires="wps">
            <w:drawing>
              <wp:anchor distT="0" distB="0" distL="114300" distR="114300" simplePos="0" relativeHeight="251657216" behindDoc="0" locked="0" layoutInCell="1" allowOverlap="1">
                <wp:simplePos x="0" y="0"/>
                <wp:positionH relativeFrom="column">
                  <wp:align>center</wp:align>
                </wp:positionH>
                <wp:positionV relativeFrom="paragraph">
                  <wp:posOffset>165100</wp:posOffset>
                </wp:positionV>
                <wp:extent cx="5471795" cy="25400"/>
                <wp:effectExtent l="0" t="9525" r="14605" b="22225"/>
                <wp:wrapNone/>
                <wp:docPr id="1" name="直线 3"/>
                <wp:cNvGraphicFramePr/>
                <a:graphic xmlns:a="http://schemas.openxmlformats.org/drawingml/2006/main">
                  <a:graphicData uri="http://schemas.microsoft.com/office/word/2010/wordprocessingShape">
                    <wps:wsp>
                      <wps:cNvSpPr/>
                      <wps:spPr>
                        <a:xfrm>
                          <a:off x="0" y="0"/>
                          <a:ext cx="5471795" cy="25400"/>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直线 3" o:spid="_x0000_s1026" o:spt="20" style="position:absolute;left:0pt;margin-top:13pt;height:2pt;width:430.85pt;mso-position-horizontal:center;z-index:251657216;mso-width-relative:page;mso-height-relative:page;" filled="f" stroked="t" coordsize="21600,21600" o:gfxdata="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BYAAABkcnMvUEsBAhQAFAAAAAgAh07iQNeuM/PU&#10;AAAABgEAAA8AAAAAAAAAAQAgAAAAOAAAAGRycy9kb3ducmV2LnhtbFBLAQIUABQAAAAIAIdO4kDX&#10;Ccbb1QEAAJUDAAAOAAAAAAAAAAEAIAAAADkBAABkcnMvZTJvRG9jLnhtbFBLBQYAAAAABgAGAFkB&#10;AACABQAAAAA=&#10;">
                <v:fill on="f" focussize="0,0"/>
                <v:stroke weight="1.5pt" color="#000000" joinstyle="round"/>
                <v:imagedata o:title=""/>
                <o:lock v:ext="edit" aspectratio="f"/>
              </v:line>
            </w:pict>
          </mc:Fallback>
        </mc:AlternateContent>
      </w:r>
    </w:p>
    <w:p>
      <w:pPr>
        <w:spacing w:line="400" w:lineRule="exact"/>
        <w:rPr>
          <w:rFonts w:ascii="仿宋_GB2312" w:eastAsia="仿宋_GB2312" w:cs="仿宋_GB2312"/>
          <w:color w:val="000000"/>
          <w:sz w:val="28"/>
          <w:szCs w:val="28"/>
        </w:rPr>
      </w:pPr>
      <w:r>
        <w:rPr>
          <w:rFonts w:ascii="仿宋_GB2312" w:eastAsia="仿宋_GB2312" w:cs="仿宋_GB2312"/>
          <w:b/>
          <w:bCs/>
          <w:color w:val="000000"/>
          <w:sz w:val="28"/>
          <w:szCs w:val="28"/>
        </w:rPr>
        <w:t xml:space="preserve"> </w:t>
      </w:r>
      <w:r>
        <w:rPr>
          <w:rFonts w:hint="eastAsia" w:ascii="仿宋_GB2312" w:eastAsia="仿宋_GB2312" w:cs="仿宋_GB2312"/>
          <w:b/>
          <w:bCs/>
          <w:color w:val="000000"/>
          <w:sz w:val="28"/>
          <w:szCs w:val="28"/>
        </w:rPr>
        <w:t>抄送：</w:t>
      </w:r>
      <w:r>
        <w:rPr>
          <w:rFonts w:hint="eastAsia" w:ascii="仿宋_GB2312" w:eastAsia="仿宋_GB2312" w:cs="仿宋_GB2312"/>
          <w:color w:val="000000"/>
          <w:sz w:val="28"/>
          <w:szCs w:val="28"/>
        </w:rPr>
        <w:t>市委办公室，市人大常委会办公室，市政协办公室，市纪委</w:t>
      </w:r>
      <w:r>
        <w:rPr>
          <w:rFonts w:ascii="仿宋_GB2312" w:eastAsia="仿宋_GB2312" w:cs="仿宋_GB2312"/>
          <w:color w:val="000000"/>
          <w:sz w:val="28"/>
          <w:szCs w:val="28"/>
        </w:rPr>
        <w:t xml:space="preserve"> </w:t>
      </w:r>
    </w:p>
    <w:p>
      <w:pPr>
        <w:spacing w:line="400" w:lineRule="exact"/>
        <w:rPr>
          <w:rFonts w:ascii="仿宋_GB2312" w:eastAsia="仿宋_GB2312"/>
          <w:color w:val="000000"/>
          <w:sz w:val="28"/>
          <w:szCs w:val="28"/>
        </w:rPr>
      </w:pPr>
      <w:r>
        <w:rPr>
          <w:rFonts w:ascii="仿宋_GB2312" w:eastAsia="仿宋_GB2312" w:cs="仿宋_GB2312"/>
          <w:color w:val="000000"/>
          <w:sz w:val="28"/>
          <w:szCs w:val="28"/>
        </w:rPr>
        <w:t xml:space="preserve">       </w:t>
      </w:r>
      <w:r>
        <w:rPr>
          <w:rFonts w:hint="eastAsia" w:ascii="仿宋_GB2312" w:eastAsia="仿宋_GB2312" w:cs="仿宋_GB2312"/>
          <w:color w:val="000000"/>
          <w:sz w:val="28"/>
          <w:szCs w:val="28"/>
        </w:rPr>
        <w:t>办公室，市法院，市检察院，市人武部。</w:t>
      </w:r>
    </w:p>
    <w:p>
      <w:pPr>
        <w:spacing w:line="200" w:lineRule="exact"/>
        <w:rPr>
          <w:rFonts w:ascii="仿宋_GB2312" w:eastAsia="仿宋_GB2312" w:cs="仿宋_GB2312"/>
          <w:color w:val="000000"/>
          <w:sz w:val="28"/>
          <w:szCs w:val="28"/>
        </w:rPr>
      </w:pPr>
      <w:r>
        <w:rPr>
          <w:color w:val="000000"/>
          <w:lang w:val="en-US" w:eastAsia="zh-CN"/>
        </w:rPr>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38735</wp:posOffset>
                </wp:positionV>
                <wp:extent cx="5471795" cy="0"/>
                <wp:effectExtent l="0" t="0" r="0" b="0"/>
                <wp:wrapNone/>
                <wp:docPr id="2" name="直线 4"/>
                <wp:cNvGraphicFramePr/>
                <a:graphic xmlns:a="http://schemas.openxmlformats.org/drawingml/2006/main">
                  <a:graphicData uri="http://schemas.microsoft.com/office/word/2010/wordprocessingShape">
                    <wps:wsp>
                      <wps:cNvSpPr/>
                      <wps:spPr>
                        <a:xfrm>
                          <a:off x="0" y="0"/>
                          <a:ext cx="5471795"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直线 4" o:spid="_x0000_s1026" o:spt="20" style="position:absolute;left:0pt;margin-top:3.05pt;height:0pt;width:430.85pt;mso-position-horizontal:center;z-index:251658240;mso-width-relative:page;mso-height-relative:page;" filled="f" stroked="t" coordsize="21600,21600" o:gfxdata="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bluCD0gAAAAQBAAAP&#10;AAAAAAAAAAEAIAAAADgAAABkcnMvZG93bnJldi54bWxQSwECFAAUAAAACACHTuJARMVs288BAACQ&#10;AwAADgAAAAAAAAABACAAAAA3AQAAZHJzL2Uyb0RvYy54bWxQSwUGAAAAAAYABgBZAQAAeAUAAAAA&#10;">
                <v:fill on="f" focussize="0,0"/>
                <v:stroke color="#000000" joinstyle="round"/>
                <v:imagedata o:title=""/>
                <o:lock v:ext="edit" aspectratio="f"/>
              </v:line>
            </w:pict>
          </mc:Fallback>
        </mc:AlternateContent>
      </w:r>
      <w:r>
        <w:rPr>
          <w:rFonts w:ascii="仿宋_GB2312" w:eastAsia="仿宋_GB2312" w:cs="仿宋_GB2312"/>
          <w:color w:val="000000"/>
          <w:sz w:val="28"/>
          <w:szCs w:val="28"/>
        </w:rPr>
        <w:t xml:space="preserve">    </w:t>
      </w:r>
    </w:p>
    <w:p>
      <w:pPr>
        <w:spacing w:line="400" w:lineRule="exact"/>
        <w:ind w:firstLine="105" w:firstLineChars="50"/>
        <w:rPr>
          <w:rFonts w:ascii="仿宋_GB2312" w:hAnsi="仿宋_GB2312" w:eastAsia="仿宋_GB2312"/>
          <w:color w:val="000000"/>
          <w:kern w:val="0"/>
          <w:sz w:val="32"/>
          <w:szCs w:val="32"/>
          <w:lang w:val="zh-CN"/>
        </w:rPr>
      </w:pPr>
      <w:r>
        <w:rPr>
          <w:color w:val="000000"/>
          <w:lang w:val="en-US" w:eastAsia="zh-CN"/>
        </w:rPr>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310515</wp:posOffset>
                </wp:positionV>
                <wp:extent cx="5471795" cy="7620"/>
                <wp:effectExtent l="0" t="0" r="0" b="0"/>
                <wp:wrapNone/>
                <wp:docPr id="3" name="直线 5"/>
                <wp:cNvGraphicFramePr/>
                <a:graphic xmlns:a="http://schemas.openxmlformats.org/drawingml/2006/main">
                  <a:graphicData uri="http://schemas.microsoft.com/office/word/2010/wordprocessingShape">
                    <wps:wsp>
                      <wps:cNvSpPr/>
                      <wps:spPr>
                        <a:xfrm>
                          <a:off x="0" y="0"/>
                          <a:ext cx="5471795" cy="7620"/>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直线 5" o:spid="_x0000_s1026" o:spt="20" style="position:absolute;left:0pt;margin-top:24.45pt;height:0.6pt;width:430.85pt;mso-position-horizontal:center;z-index:251658240;mso-width-relative:page;mso-height-relative:page;" filled="f" stroked="t" coordsize="21600,21600" o:gfxdata="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BYAAABkcnMvUEsBAhQAFAAAAAgAh07iQIKdiMTV&#10;AAAABgEAAA8AAAAAAAAAAQAgAAAAOAAAAGRycy9kb3ducmV2LnhtbFBLAQIUABQAAAAIAIdO4kCn&#10;6MVZ1AEAAJQDAAAOAAAAAAAAAAEAIAAAADoBAABkcnMvZTJvRG9jLnhtbFBLBQYAAAAABgAGAFkB&#10;AACABQAAAAA=&#10;">
                <v:fill on="f" focussize="0,0"/>
                <v:stroke weight="1.5pt" color="#000000" joinstyle="round"/>
                <v:imagedata o:title=""/>
                <o:lock v:ext="edit" aspectratio="f"/>
              </v:line>
            </w:pict>
          </mc:Fallback>
        </mc:AlternateContent>
      </w:r>
      <w:r>
        <w:rPr>
          <w:rFonts w:hint="eastAsia" w:ascii="仿宋_GB2312" w:eastAsia="仿宋_GB2312" w:cs="仿宋_GB2312"/>
          <w:color w:val="000000"/>
          <w:sz w:val="28"/>
          <w:szCs w:val="28"/>
        </w:rPr>
        <w:t>滕州市人民政府办公室</w:t>
      </w:r>
      <w:r>
        <w:rPr>
          <w:rFonts w:ascii="仿宋_GB2312" w:eastAsia="仿宋_GB2312" w:cs="仿宋_GB2312"/>
          <w:color w:val="000000"/>
          <w:sz w:val="28"/>
          <w:szCs w:val="28"/>
        </w:rPr>
        <w:t xml:space="preserve">                     2017</w:t>
      </w:r>
      <w:r>
        <w:rPr>
          <w:rFonts w:hint="eastAsia" w:ascii="仿宋_GB2312" w:eastAsia="仿宋_GB2312" w:cs="仿宋_GB2312"/>
          <w:color w:val="000000"/>
          <w:sz w:val="28"/>
          <w:szCs w:val="28"/>
        </w:rPr>
        <w:t>年10月20日印发</w:t>
      </w:r>
    </w:p>
    <w:sectPr>
      <w:footerReference r:id="rId3" w:type="default"/>
      <w:footerReference r:id="rId4" w:type="even"/>
      <w:pgSz w:w="11906" w:h="16838"/>
      <w:pgMar w:top="1588" w:right="1588" w:bottom="1588" w:left="1588" w:header="851" w:footer="130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Arial">
    <w:panose1 w:val="020B0604020202020204"/>
    <w:charset w:val="00"/>
    <w:family w:val="swiss"/>
    <w:pitch w:val="default"/>
    <w:sig w:usb0="E0002EFF" w:usb1="C000785B" w:usb2="00000009" w:usb3="00000000" w:csb0="400001FF" w:csb1="FFFF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宋体" w:hAnsi="宋体"/>
        <w:sz w:val="24"/>
        <w:szCs w:val="24"/>
      </w:rPr>
    </w:pPr>
    <w:r>
      <w:rPr>
        <w:rFonts w:ascii="宋体" w:hAnsi="宋体"/>
        <w:sz w:val="24"/>
        <w:szCs w:val="24"/>
      </w:rPr>
      <w:fldChar w:fldCharType="begin"/>
    </w:r>
    <w:r>
      <w:rPr>
        <w:rFonts w:ascii="宋体" w:hAnsi="宋体"/>
        <w:sz w:val="24"/>
        <w:szCs w:val="24"/>
      </w:rPr>
      <w:instrText xml:space="preserve"> PAGE   \* MERGEFORMAT </w:instrText>
    </w:r>
    <w:r>
      <w:rPr>
        <w:rFonts w:ascii="宋体" w:hAnsi="宋体"/>
        <w:sz w:val="24"/>
        <w:szCs w:val="24"/>
      </w:rPr>
      <w:fldChar w:fldCharType="separate"/>
    </w:r>
    <w:r>
      <w:rPr>
        <w:rFonts w:ascii="宋体" w:hAnsi="宋体"/>
        <w:sz w:val="24"/>
        <w:szCs w:val="24"/>
        <w:lang w:val="zh-CN"/>
      </w:rPr>
      <w:t>-</w:t>
    </w:r>
    <w:r>
      <w:rPr>
        <w:rFonts w:ascii="宋体" w:hAnsi="宋体"/>
        <w:sz w:val="24"/>
        <w:szCs w:val="24"/>
      </w:rPr>
      <w:t xml:space="preserve"> 7 -</w:t>
    </w:r>
    <w:r>
      <w:rPr>
        <w:rFonts w:ascii="宋体" w:hAnsi="宋体"/>
        <w:sz w:val="24"/>
        <w:szCs w:val="24"/>
      </w:rPr>
      <w:fldChar w:fldCharType="end"/>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宋体" w:hAnsi="宋体"/>
        <w:sz w:val="24"/>
        <w:szCs w:val="24"/>
      </w:rPr>
    </w:pPr>
    <w:r>
      <w:rPr>
        <w:rFonts w:ascii="宋体" w:hAnsi="宋体"/>
        <w:sz w:val="24"/>
        <w:szCs w:val="24"/>
      </w:rPr>
      <w:fldChar w:fldCharType="begin"/>
    </w:r>
    <w:r>
      <w:rPr>
        <w:rFonts w:ascii="宋体" w:hAnsi="宋体"/>
        <w:sz w:val="24"/>
        <w:szCs w:val="24"/>
      </w:rPr>
      <w:instrText xml:space="preserve"> PAGE   \* MERGEFORMAT </w:instrText>
    </w:r>
    <w:r>
      <w:rPr>
        <w:rFonts w:ascii="宋体" w:hAnsi="宋体"/>
        <w:sz w:val="24"/>
        <w:szCs w:val="24"/>
      </w:rPr>
      <w:fldChar w:fldCharType="separate"/>
    </w:r>
    <w:r>
      <w:rPr>
        <w:rFonts w:ascii="宋体" w:hAnsi="宋体"/>
        <w:sz w:val="24"/>
        <w:szCs w:val="24"/>
        <w:lang w:val="zh-CN"/>
      </w:rPr>
      <w:t>-</w:t>
    </w:r>
    <w:r>
      <w:rPr>
        <w:rFonts w:ascii="宋体" w:hAnsi="宋体"/>
        <w:sz w:val="24"/>
        <w:szCs w:val="24"/>
      </w:rPr>
      <w:t xml:space="preserve"> 8 -</w:t>
    </w:r>
    <w:r>
      <w:rPr>
        <w:rFonts w:ascii="宋体" w:hAnsi="宋体"/>
        <w:sz w:val="24"/>
        <w:szCs w:val="24"/>
      </w:rPr>
      <w:fldChar w:fldCharType="end"/>
    </w:r>
  </w:p>
  <w:p>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true"/>
  <w:bordersDoNotSurroundHeader w:val="true"/>
  <w:bordersDoNotSurroundFooter w:val="true"/>
  <w:documentProtection w:enforcement="0"/>
  <w:defaultTabStop w:val="420"/>
  <w:evenAndOddHeaders w:val="true"/>
  <w:drawingGridHorizontalSpacing w:val="105"/>
  <w:drawingGridVerticalSpacing w:val="156"/>
  <w:displayHorizontalDrawingGridEvery w:val="0"/>
  <w:displayVerticalDrawingGridEvery w:val="2"/>
  <w:doNotShadeFormData w:val="true"/>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CE7"/>
    <w:rsid w:val="00022E36"/>
    <w:rsid w:val="00032318"/>
    <w:rsid w:val="00071E18"/>
    <w:rsid w:val="000A5E10"/>
    <w:rsid w:val="000B406F"/>
    <w:rsid w:val="000D366B"/>
    <w:rsid w:val="000E069C"/>
    <w:rsid w:val="000F1D09"/>
    <w:rsid w:val="00141EAE"/>
    <w:rsid w:val="00155424"/>
    <w:rsid w:val="00191BB7"/>
    <w:rsid w:val="001A6ADE"/>
    <w:rsid w:val="001B1C70"/>
    <w:rsid w:val="002826C8"/>
    <w:rsid w:val="002C2E43"/>
    <w:rsid w:val="002E14DD"/>
    <w:rsid w:val="003140DE"/>
    <w:rsid w:val="00337005"/>
    <w:rsid w:val="003621F7"/>
    <w:rsid w:val="00394FB6"/>
    <w:rsid w:val="003C1C75"/>
    <w:rsid w:val="003D7D7D"/>
    <w:rsid w:val="0042761E"/>
    <w:rsid w:val="00437701"/>
    <w:rsid w:val="004718A7"/>
    <w:rsid w:val="004A60DA"/>
    <w:rsid w:val="004B15CB"/>
    <w:rsid w:val="004B704E"/>
    <w:rsid w:val="004C1F2B"/>
    <w:rsid w:val="004C257F"/>
    <w:rsid w:val="004C52C6"/>
    <w:rsid w:val="004D518E"/>
    <w:rsid w:val="0054124F"/>
    <w:rsid w:val="00595728"/>
    <w:rsid w:val="005C74D1"/>
    <w:rsid w:val="005D6DED"/>
    <w:rsid w:val="005E0C74"/>
    <w:rsid w:val="005F24C6"/>
    <w:rsid w:val="00601913"/>
    <w:rsid w:val="00615005"/>
    <w:rsid w:val="006304B8"/>
    <w:rsid w:val="00697903"/>
    <w:rsid w:val="006B5248"/>
    <w:rsid w:val="006B70E3"/>
    <w:rsid w:val="007307DE"/>
    <w:rsid w:val="007370C9"/>
    <w:rsid w:val="00760C34"/>
    <w:rsid w:val="00776602"/>
    <w:rsid w:val="007C3569"/>
    <w:rsid w:val="007C55F2"/>
    <w:rsid w:val="007E45A2"/>
    <w:rsid w:val="007F2BBF"/>
    <w:rsid w:val="008317F3"/>
    <w:rsid w:val="00885443"/>
    <w:rsid w:val="008A70D6"/>
    <w:rsid w:val="008F174A"/>
    <w:rsid w:val="0090239C"/>
    <w:rsid w:val="0090349C"/>
    <w:rsid w:val="0094339C"/>
    <w:rsid w:val="00953EF4"/>
    <w:rsid w:val="009D27FB"/>
    <w:rsid w:val="009D3BB9"/>
    <w:rsid w:val="009E169F"/>
    <w:rsid w:val="009E2702"/>
    <w:rsid w:val="009E7002"/>
    <w:rsid w:val="00A15510"/>
    <w:rsid w:val="00A1757B"/>
    <w:rsid w:val="00A2732C"/>
    <w:rsid w:val="00A3191B"/>
    <w:rsid w:val="00A43F09"/>
    <w:rsid w:val="00A4778A"/>
    <w:rsid w:val="00A82EFB"/>
    <w:rsid w:val="00A85AEC"/>
    <w:rsid w:val="00AF6F81"/>
    <w:rsid w:val="00B0220B"/>
    <w:rsid w:val="00B03CF5"/>
    <w:rsid w:val="00B10FFF"/>
    <w:rsid w:val="00B2633C"/>
    <w:rsid w:val="00B3119D"/>
    <w:rsid w:val="00B70589"/>
    <w:rsid w:val="00B74A71"/>
    <w:rsid w:val="00BD1FAE"/>
    <w:rsid w:val="00BF0CC9"/>
    <w:rsid w:val="00BF12B3"/>
    <w:rsid w:val="00C37AF1"/>
    <w:rsid w:val="00C83F9F"/>
    <w:rsid w:val="00C90AC5"/>
    <w:rsid w:val="00CA5C6C"/>
    <w:rsid w:val="00CE181E"/>
    <w:rsid w:val="00CE190E"/>
    <w:rsid w:val="00D272E7"/>
    <w:rsid w:val="00D43E68"/>
    <w:rsid w:val="00D63324"/>
    <w:rsid w:val="00D82849"/>
    <w:rsid w:val="00D9605D"/>
    <w:rsid w:val="00DB7C68"/>
    <w:rsid w:val="00E21E81"/>
    <w:rsid w:val="00E251CA"/>
    <w:rsid w:val="00EA4B58"/>
    <w:rsid w:val="00EC49E9"/>
    <w:rsid w:val="00EC4F1D"/>
    <w:rsid w:val="00F33535"/>
    <w:rsid w:val="00F57EF2"/>
    <w:rsid w:val="00FB46CC"/>
    <w:rsid w:val="00FB5E76"/>
    <w:rsid w:val="00FC59E0"/>
    <w:rsid w:val="F95A3F2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qFormat/>
    <w:uiPriority w:val="0"/>
    <w:rPr>
      <w:rFonts w:ascii="Times New Roman" w:hAnsi="Times New Roman" w:eastAsia="宋体" w:cs="Times New Roman"/>
    </w:rPr>
  </w:style>
  <w:style w:type="table" w:default="1" w:styleId="4">
    <w:name w:val="Normal Table"/>
    <w:qFormat/>
    <w:uiPriority w:val="0"/>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qFormat/>
    <w:uiPriority w:val="0"/>
    <w:rPr>
      <w:rFonts w:ascii="Times New Roman" w:hAnsi="Times New Roman" w:eastAsia="宋体" w:cs="Times New Roman"/>
    </w:rPr>
  </w:style>
  <w:style w:type="character" w:customStyle="1" w:styleId="7">
    <w:name w:val="页脚 字符"/>
    <w:link w:val="2"/>
    <w:qFormat/>
    <w:uiPriority w:val="0"/>
    <w:rPr>
      <w:rFonts w:ascii="Times New Roman" w:hAnsi="Times New Roman" w:eastAsia="宋体" w:cs="Times New Roman"/>
      <w:kern w:val="2"/>
      <w:sz w:val="18"/>
      <w:szCs w:val="18"/>
      <w:lang w:bidi="ar-SA"/>
    </w:rPr>
  </w:style>
  <w:style w:type="character" w:customStyle="1" w:styleId="8">
    <w:name w:val="页眉 字符"/>
    <w:link w:val="3"/>
    <w:qFormat/>
    <w:uiPriority w:val="99"/>
    <w:rPr>
      <w:rFonts w:ascii="Times New Roman" w:hAnsi="Times New Roman" w:eastAsia="宋体" w:cs="Times New Roman"/>
      <w:kern w:val="2"/>
      <w:sz w:val="18"/>
      <w:szCs w:val="18"/>
    </w:rPr>
  </w:style>
  <w:style w:type="character" w:customStyle="1" w:styleId="9">
    <w:name w:val="页脚 Char"/>
    <w:basedOn w:val="5"/>
    <w:qFormat/>
    <w:uiPriority w:val="99"/>
    <w:rPr>
      <w:lang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30"/>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Pages>
  <Words>1559</Words>
  <Characters>1592</Characters>
  <Lines>79</Lines>
  <Paragraphs>48</Paragraphs>
  <TotalTime>2</TotalTime>
  <ScaleCrop>false</ScaleCrop>
  <LinksUpToDate>false</LinksUpToDate>
  <CharactersWithSpaces>3103</CharactersWithSpaces>
  <Application>WPS Office_11.1.0.9719_F1E327BC-269C-435d-A152-05C5408002CA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2017-10-24T08:42:00Z</dcterms:created>
  <dc:creator>tengzhou</dc:creator>
  <cp:lastModifiedBy>爱新觉罗-琛</cp:lastModifiedBy>
  <cp:lastPrinted>2017-10-19T15:29:00Z</cp:lastPrinted>
  <dcterms:modified xsi:type="dcterms:W3CDTF">2021-12-16T18:31:09Z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2052-11.1.0.9719</vt:lpwstr>
  </property>
</Properties>
</file>